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C91" w:rsidRPr="00A92DE4" w:rsidRDefault="00573A37">
      <w:pPr>
        <w:pBdr>
          <w:bottom w:val="single" w:sz="6" w:space="1" w:color="auto"/>
        </w:pBdr>
        <w:rPr>
          <w:sz w:val="44"/>
        </w:rPr>
      </w:pPr>
      <w:r w:rsidRPr="00237BB8">
        <w:rPr>
          <w:noProof/>
          <w:sz w:val="52"/>
          <w:lang w:eastAsia="en-GB"/>
        </w:rPr>
        <w:drawing>
          <wp:anchor distT="252095" distB="252095" distL="252095" distR="252095" simplePos="0" relativeHeight="251658240" behindDoc="0" locked="0" layoutInCell="1" allowOverlap="1">
            <wp:simplePos x="0" y="0"/>
            <wp:positionH relativeFrom="column">
              <wp:posOffset>3683635</wp:posOffset>
            </wp:positionH>
            <wp:positionV relativeFrom="paragraph">
              <wp:posOffset>0</wp:posOffset>
            </wp:positionV>
            <wp:extent cx="2405380" cy="1733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 new log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38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45D9" w:rsidRPr="00237BB8">
        <w:rPr>
          <w:sz w:val="52"/>
        </w:rPr>
        <w:t>Neonicotinoids</w:t>
      </w:r>
      <w:r w:rsidR="00A92DE4" w:rsidRPr="00237BB8">
        <w:rPr>
          <w:sz w:val="52"/>
        </w:rPr>
        <w:t xml:space="preserve">; how </w:t>
      </w:r>
      <w:r w:rsidR="00DF0F21">
        <w:rPr>
          <w:sz w:val="52"/>
        </w:rPr>
        <w:t>to cope without seed dressings i</w:t>
      </w:r>
      <w:r w:rsidR="00A92DE4" w:rsidRPr="00237BB8">
        <w:rPr>
          <w:sz w:val="52"/>
        </w:rPr>
        <w:t>n rape</w:t>
      </w:r>
      <w:r>
        <w:rPr>
          <w:sz w:val="44"/>
        </w:rPr>
        <w:t xml:space="preserve"> </w:t>
      </w:r>
    </w:p>
    <w:p w:rsidR="00237BB8" w:rsidRDefault="00237BB8" w:rsidP="00237BB8">
      <w:pPr>
        <w:tabs>
          <w:tab w:val="left" w:pos="1410"/>
        </w:tabs>
      </w:pPr>
      <w:r>
        <w:tab/>
      </w:r>
    </w:p>
    <w:p w:rsidR="00656A8B" w:rsidRDefault="00A92DE4" w:rsidP="00573A37">
      <w:pPr>
        <w:jc w:val="both"/>
        <w:rPr>
          <w:b/>
          <w:sz w:val="28"/>
        </w:rPr>
      </w:pPr>
      <w:r w:rsidRPr="00237BB8">
        <w:rPr>
          <w:b/>
          <w:sz w:val="28"/>
        </w:rPr>
        <w:t xml:space="preserve">By now, every </w:t>
      </w:r>
      <w:r w:rsidR="00237BB8">
        <w:rPr>
          <w:b/>
          <w:sz w:val="28"/>
        </w:rPr>
        <w:t xml:space="preserve">oilseed </w:t>
      </w:r>
      <w:r w:rsidRPr="00237BB8">
        <w:rPr>
          <w:b/>
          <w:sz w:val="28"/>
        </w:rPr>
        <w:t xml:space="preserve">rape grower will be familiar with the ban on neonicotinoid seed treatments in rape. Despite having been around for over 15 years in various products, </w:t>
      </w:r>
      <w:r w:rsidR="003F5FEF" w:rsidRPr="00237BB8">
        <w:rPr>
          <w:b/>
          <w:sz w:val="28"/>
        </w:rPr>
        <w:t>the insecticidal dressings</w:t>
      </w:r>
      <w:r w:rsidRPr="00237BB8">
        <w:rPr>
          <w:b/>
          <w:sz w:val="28"/>
        </w:rPr>
        <w:t xml:space="preserve"> have argu</w:t>
      </w:r>
      <w:r w:rsidR="00656A8B" w:rsidRPr="00237BB8">
        <w:rPr>
          <w:b/>
          <w:sz w:val="28"/>
        </w:rPr>
        <w:t xml:space="preserve">ably been one of the most under-appreciated tools in crop protection. </w:t>
      </w:r>
    </w:p>
    <w:p w:rsidR="00237BB8" w:rsidRDefault="00237BB8" w:rsidP="00573A37">
      <w:pPr>
        <w:jc w:val="both"/>
        <w:rPr>
          <w:i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9525</wp:posOffset>
            </wp:positionV>
            <wp:extent cx="1895475" cy="1684020"/>
            <wp:effectExtent l="0" t="0" r="9525" b="0"/>
            <wp:wrapTight wrapText="bothSides">
              <wp:wrapPolygon edited="0">
                <wp:start x="0" y="0"/>
                <wp:lineTo x="0" y="21258"/>
                <wp:lineTo x="21491" y="21258"/>
                <wp:lineTo x="21491" y="0"/>
                <wp:lineTo x="0" y="0"/>
              </wp:wrapPolygon>
            </wp:wrapTight>
            <wp:docPr id="3" name="Picture 3" descr="http://www.fwi.co.uk/assets/getAsset.aspx?ItemID=5245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wi.co.uk/assets/getAsset.aspx?ItemID=524560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286"/>
                    <a:stretch/>
                  </pic:blipFill>
                  <pic:spPr bwMode="auto">
                    <a:xfrm>
                      <a:off x="0" y="0"/>
                      <a:ext cx="189547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37BB8" w:rsidRPr="00237BB8" w:rsidRDefault="00237BB8" w:rsidP="00573A37">
      <w:pPr>
        <w:jc w:val="both"/>
        <w:rPr>
          <w:i/>
          <w:sz w:val="28"/>
        </w:rPr>
      </w:pPr>
      <w:r w:rsidRPr="00237BB8">
        <w:rPr>
          <w:i/>
          <w:sz w:val="28"/>
        </w:rPr>
        <w:t>What are the threats?</w:t>
      </w:r>
    </w:p>
    <w:p w:rsidR="00573A37" w:rsidRDefault="00077EA7" w:rsidP="00573A37">
      <w:pPr>
        <w:jc w:val="both"/>
      </w:pPr>
      <w:proofErr w:type="gramStart"/>
      <w:r>
        <w:t>As a consequence of</w:t>
      </w:r>
      <w:proofErr w:type="gramEnd"/>
      <w:r>
        <w:t xml:space="preserve"> their loss, w</w:t>
      </w:r>
      <w:r w:rsidR="00A92DE4">
        <w:t xml:space="preserve">e believe that autumn 2014 </w:t>
      </w:r>
      <w:r w:rsidR="00573A37">
        <w:t xml:space="preserve">will </w:t>
      </w:r>
      <w:r w:rsidR="00A92DE4">
        <w:t>come as a shock to many</w:t>
      </w:r>
      <w:r w:rsidR="00656A8B">
        <w:t xml:space="preserve">, proving just how important </w:t>
      </w:r>
      <w:r w:rsidR="00A92DE4">
        <w:t xml:space="preserve">these seed dressings </w:t>
      </w:r>
      <w:r w:rsidR="00656A8B">
        <w:t>have been in ensuring even, reliable rape establishment</w:t>
      </w:r>
      <w:r w:rsidR="00573A37">
        <w:t xml:space="preserve">. </w:t>
      </w:r>
      <w:r w:rsidR="00237BB8">
        <w:t xml:space="preserve"> </w:t>
      </w:r>
    </w:p>
    <w:p w:rsidR="00237BB8" w:rsidRDefault="00237BB8" w:rsidP="00573A37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372745</wp:posOffset>
            </wp:positionV>
            <wp:extent cx="191452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493" y="21360"/>
                <wp:lineTo x="21493" y="0"/>
                <wp:lineTo x="0" y="0"/>
              </wp:wrapPolygon>
            </wp:wrapTight>
            <wp:docPr id="2" name="Picture 2" descr="http://www.fwi.co.uk/assets/getasset.aspx?itemid=7304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wi.co.uk/assets/getasset.aspx?itemid=730444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6" t="10000" r="10000" b="11739"/>
                    <a:stretch/>
                  </pic:blipFill>
                  <pic:spPr bwMode="auto">
                    <a:xfrm>
                      <a:off x="0" y="0"/>
                      <a:ext cx="1914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73A37">
        <w:t xml:space="preserve">The ban effects both Cruiser and Modesto seed dressings, both of which </w:t>
      </w:r>
      <w:r w:rsidR="00964E6F">
        <w:t>provided around 8 weeks protection again a range of pests including Flea Beetle and Turnip Saw Fly caterpillars</w:t>
      </w:r>
      <w:r w:rsidR="00573A37">
        <w:t xml:space="preserve">. </w:t>
      </w:r>
    </w:p>
    <w:p w:rsidR="00573A37" w:rsidRDefault="00573A37" w:rsidP="00573A37">
      <w:pPr>
        <w:jc w:val="both"/>
      </w:pPr>
      <w:r>
        <w:t xml:space="preserve">Those who can remember growing rape – or indeed linseed or forage brassicas without treated seed – will have their own experiences of cotyledons being eaten off before they have barely emerged </w:t>
      </w:r>
    </w:p>
    <w:p w:rsidR="004645D9" w:rsidRDefault="008F3544" w:rsidP="00573A37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564515</wp:posOffset>
                </wp:positionV>
                <wp:extent cx="1965325" cy="343535"/>
                <wp:effectExtent l="0" t="0" r="0" b="9525"/>
                <wp:wrapTight wrapText="bothSides">
                  <wp:wrapPolygon edited="0">
                    <wp:start x="0" y="0"/>
                    <wp:lineTo x="0" y="21016"/>
                    <wp:lineTo x="21356" y="21016"/>
                    <wp:lineTo x="21356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BB8" w:rsidRPr="00237BB8" w:rsidRDefault="00237BB8">
                            <w:pPr>
                              <w:rPr>
                                <w:sz w:val="18"/>
                              </w:rPr>
                            </w:pPr>
                            <w:r w:rsidRPr="00237BB8">
                              <w:rPr>
                                <w:sz w:val="18"/>
                              </w:rPr>
                              <w:t>Images courtesy of Farmers Weekly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45pt;margin-top:44.45pt;width:154.75pt;height:27.05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8THwIAABsEAAAOAAAAZHJzL2Uyb0RvYy54bWysU9tu2zAMfR+wfxD0vjg3d40Rp+jSZRjQ&#10;XYB2H0DLcixMFjVJid19/Sg5TbPtbZgfBNEkDw8PqfXN0Gl2lM4rNCWfTaacSSOwVmZf8m+PuzfX&#10;nPkApgaNRpb8SXp+s3n9at3bQs6xRV1LxwjE+KK3JW9DsEWWedHKDvwErTTkbNB1EMh0+6x20BN6&#10;p7P5dHqV9ehq61BI7+nv3ejkm4TfNFKEL03jZWC65MQtpNOls4pntllDsXdgWyVONOAfWHSgDBU9&#10;Q91BAHZw6i+oTgmHHpswEdhl2DRKyNQDdTOb/tHNQwtWpl5IHG/PMvn/Bys+H786puqSLzkz0NGI&#10;HuUQ2Dsc2Dyq01tfUNCDpbAw0G+acurU23sU3z0zuG3B7OWtc9i3EmpiN4uZ2UXqiOMjSNV/wprK&#10;wCFgAhoa10XpSAxG6DSlp/NkIhURS66u8sU850yQb7Fc5Is8lYDiOds6Hz5I7Fi8lNzR5BM6HO99&#10;iGygeA6JxTxqVe+U1slw+2qrHTsCbckufSf038K0YX3JVznxiFkGY35aoE4F2mKtupJfT+MX06GI&#10;arw3dboHUHq8ExNtTvJERUZtwlANFBg1q7B+IqEcjttKr4suLbqfnPW0qSX3Pw7gJGf6oyGxV7Pl&#10;Mq52Mpb52zkZ7tJTXXrACIIqeeBsvG5Deg5JB3tLQ9mppNcLkxNX2sAk4+m1xBW/tFPUy5ve/AIA&#10;AP//AwBQSwMEFAAGAAgAAAAhAFnRWVLfAAAACgEAAA8AAABkcnMvZG93bnJldi54bWxMj8FOwzAM&#10;hu9IvENkJG4sYRtT1zWdJiYuHJAYSHDMmrSp1jhRknXl7TEndrIsf/r9/dV2cgMbTUy9RwmPMwHM&#10;YON1j52Ez4+XhwJYygq1GjwaCT8mwba+valUqf0F3814yB2jEEylkmBzDiXnqbHGqTTzwSDdWh+d&#10;yrTGjuuoLhTuBj4XYsWd6pE+WBXMszXN6XB2Er6c7fU+vn23ehj3r+3uKUwxSHl/N+02wLKZ8j8M&#10;f/qkDjU5Hf0ZdWKDhNVcrAmVUBQ0CVgvxBLYkcjlQgCvK35dof4FAAD//wMAUEsBAi0AFAAGAAgA&#10;AAAhALaDOJL+AAAA4QEAABMAAAAAAAAAAAAAAAAAAAAAAFtDb250ZW50X1R5cGVzXS54bWxQSwEC&#10;LQAUAAYACAAAACEAOP0h/9YAAACUAQAACwAAAAAAAAAAAAAAAAAvAQAAX3JlbHMvLnJlbHNQSwEC&#10;LQAUAAYACAAAACEAbWsfEx8CAAAbBAAADgAAAAAAAAAAAAAAAAAuAgAAZHJzL2Uyb0RvYy54bWxQ&#10;SwECLQAUAAYACAAAACEAWdFZUt8AAAAKAQAADwAAAAAAAAAAAAAAAAB5BAAAZHJzL2Rvd25yZXYu&#10;eG1sUEsFBgAAAAAEAAQA8wAAAIUFAAAAAA==&#10;" stroked="f">
                <v:textbox style="mso-fit-shape-to-text:t">
                  <w:txbxContent>
                    <w:p w:rsidR="00237BB8" w:rsidRPr="00237BB8" w:rsidRDefault="00237BB8">
                      <w:pPr>
                        <w:rPr>
                          <w:sz w:val="18"/>
                        </w:rPr>
                      </w:pPr>
                      <w:r w:rsidRPr="00237BB8">
                        <w:rPr>
                          <w:sz w:val="18"/>
                        </w:rPr>
                        <w:t>Images courtesy of Farmers Weekly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56A8B">
        <w:t xml:space="preserve">Whilst Flea Beetle, and the characteristic “shot-hole” damage that they cause is highly visible, </w:t>
      </w:r>
      <w:r w:rsidR="005B0BAB">
        <w:t>in recent years</w:t>
      </w:r>
      <w:r w:rsidR="00656A8B">
        <w:t xml:space="preserve"> researchers have also highlighted another potentially very damaging pest; the humble aphid. </w:t>
      </w:r>
    </w:p>
    <w:p w:rsidR="00237BB8" w:rsidRDefault="00237BB8" w:rsidP="00573A37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106680</wp:posOffset>
            </wp:positionV>
            <wp:extent cx="1913890" cy="1435735"/>
            <wp:effectExtent l="0" t="0" r="0" b="0"/>
            <wp:wrapTight wrapText="bothSides">
              <wp:wrapPolygon edited="0">
                <wp:start x="0" y="0"/>
                <wp:lineTo x="0" y="21208"/>
                <wp:lineTo x="21285" y="21208"/>
                <wp:lineTo x="21285" y="0"/>
                <wp:lineTo x="0" y="0"/>
              </wp:wrapPolygon>
            </wp:wrapTight>
            <wp:docPr id="8" name="Picture 8" descr="http://bayer.warinteractive.com/pestImages/peach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yer.warinteractive.com/pestImages/peach%2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6A8B" w:rsidRDefault="00656A8B" w:rsidP="00573A37">
      <w:pPr>
        <w:jc w:val="both"/>
      </w:pPr>
      <w:r>
        <w:t xml:space="preserve">Just like Barley Yellow Dwarf Virus in cereals, </w:t>
      </w:r>
      <w:r w:rsidR="005B0BAB">
        <w:t>aphids can transmit Turnips Yello</w:t>
      </w:r>
      <w:r w:rsidR="003F5FEF">
        <w:t>ws Virus (</w:t>
      </w:r>
      <w:proofErr w:type="spellStart"/>
      <w:r w:rsidR="003F5FEF">
        <w:t>TuYV</w:t>
      </w:r>
      <w:proofErr w:type="spellEnd"/>
      <w:r w:rsidR="003F5FEF">
        <w:t>) in oilseed rape, and this will necessitate a different approach to protection rape in the autumn. We examine both pests, and how growers should react this autumn.</w:t>
      </w:r>
    </w:p>
    <w:p w:rsidR="003F5FEF" w:rsidRDefault="003F5FEF" w:rsidP="00573A37">
      <w:pPr>
        <w:jc w:val="both"/>
      </w:pPr>
    </w:p>
    <w:p w:rsidR="00BD62D0" w:rsidRDefault="008F3544" w:rsidP="00573A37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46355</wp:posOffset>
                </wp:positionH>
                <wp:positionV relativeFrom="paragraph">
                  <wp:posOffset>13970</wp:posOffset>
                </wp:positionV>
                <wp:extent cx="1676400" cy="376555"/>
                <wp:effectExtent l="0" t="0" r="0" b="44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BB8" w:rsidRPr="00237BB8" w:rsidRDefault="00237BB8">
                            <w:pPr>
                              <w:rPr>
                                <w:sz w:val="18"/>
                              </w:rPr>
                            </w:pPr>
                            <w:r w:rsidRPr="00237BB8">
                              <w:rPr>
                                <w:sz w:val="18"/>
                              </w:rPr>
                              <w:t>Image courtesy of Bayer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65pt;margin-top:1.1pt;width:132pt;height:29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djXIQIAACIEAAAOAAAAZHJzL2Uyb0RvYy54bWysU9tu2zAMfR+wfxD0vtjJkrQ14hRdugwD&#10;ugvQ7gNoWY6FSaInKbGzrx8lp2m2vQ3zgyCa5OHhIbW6HYxmB+m8Qlvy6STnTFqBtbK7kn972r65&#10;5swHsDVotLLkR+n57fr1q1XfFXKGLepaOkYg1hd9V/I2hK7IMi9aacBPsJOWnA06A4FMt8tqBz2h&#10;G53N8nyZ9ejqzqGQ3tPf+9HJ1wm/aaQIX5rGy8B0yYlbSKdLZxXPbL2CYuega5U40YB/YGFAWSp6&#10;hrqHAGzv1F9QRgmHHpswEWgybBolZOqBupnmf3Tz2EInUy8kju/OMvn/Bys+H746puqS33BmwdCI&#10;nuQQ2Dsc2Cyq03e+oKDHjsLCQL9pyqlT3z2g+O6ZxU0LdifvnMO+lVATu2nMzC5SRxwfQar+E9ZU&#10;BvYBE9DQOBOlIzEYodOUjufJRCoillxeLec5uQT53l4tF4tFKgHFc3bnfPgg0bB4KbmjySd0ODz4&#10;ENlA8RwSi3nUqt4qrZPhdtVGO3YA2pJt+k7ov4Vpy3rSaTFbJGSLMT8tkFGBtlgrU/LrPH4xHYqo&#10;xntbp3sApcc7MdH2JE9UZNQmDNWQ5pC0i9JVWB9JL4fj0tIjo0uL7idnPS1syf2PPTjJmf5oSfOb&#10;6XweNzwZ88XVjAx36akuPWAFQZU8cDZeNyG9ikjb4h3NplFJthcmJ8q0iEnN06OJm35pp6iXp73+&#10;BQAA//8DAFBLAwQUAAYACAAAACEAkezbVtoAAAAGAQAADwAAAGRycy9kb3ducmV2LnhtbEyOwU6D&#10;QBRF9yb+w+SZuDF2AC0o8mjUROO2tR/wgFcgMjOEmRb69z5Xdnlzb849xWYxgzrx5HtnEeJVBIpt&#10;7Zretgj774/7J1A+kG1ocJYRzuxhU15fFZQ3brZbPu1CqwRifU4IXQhjrrWvOzbkV25kK93BTYaC&#10;xKnVzUSzwM2gkyhKtaHeykNHI793XP/sjgbh8DXfrZ/n6jPss+1j+kZ9Vrkz4u3N8voCKvAS/sfw&#10;py/qUIpT5Y628WpAyB5kiJAkoKRNslhyhZDGa9BloS/1y18AAAD//wMAUEsBAi0AFAAGAAgAAAAh&#10;ALaDOJL+AAAA4QEAABMAAAAAAAAAAAAAAAAAAAAAAFtDb250ZW50X1R5cGVzXS54bWxQSwECLQAU&#10;AAYACAAAACEAOP0h/9YAAACUAQAACwAAAAAAAAAAAAAAAAAvAQAAX3JlbHMvLnJlbHNQSwECLQAU&#10;AAYACAAAACEAfPnY1yECAAAiBAAADgAAAAAAAAAAAAAAAAAuAgAAZHJzL2Uyb0RvYy54bWxQSwEC&#10;LQAUAAYACAAAACEAkezbVtoAAAAGAQAADwAAAAAAAAAAAAAAAAB7BAAAZHJzL2Rvd25yZXYueG1s&#10;UEsFBgAAAAAEAAQA8wAAAIIFAAAAAA==&#10;" stroked="f">
                <v:textbox>
                  <w:txbxContent>
                    <w:p w:rsidR="00237BB8" w:rsidRPr="00237BB8" w:rsidRDefault="00237BB8">
                      <w:pPr>
                        <w:rPr>
                          <w:sz w:val="18"/>
                        </w:rPr>
                      </w:pPr>
                      <w:r w:rsidRPr="00237BB8">
                        <w:rPr>
                          <w:sz w:val="18"/>
                        </w:rPr>
                        <w:t>Image courtesy of Bayer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5FEF" w:rsidRPr="00BD62D0" w:rsidRDefault="008F3544" w:rsidP="00573A37">
      <w:pPr>
        <w:jc w:val="both"/>
        <w:rPr>
          <w:sz w:val="40"/>
        </w:rPr>
      </w:pPr>
      <w:r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2943225</wp:posOffset>
                </wp:positionH>
                <wp:positionV relativeFrom="paragraph">
                  <wp:posOffset>38100</wp:posOffset>
                </wp:positionV>
                <wp:extent cx="2838450" cy="1933575"/>
                <wp:effectExtent l="38100" t="38100" r="95250" b="104775"/>
                <wp:wrapTight wrapText="bothSides">
                  <wp:wrapPolygon edited="0">
                    <wp:start x="0" y="-426"/>
                    <wp:lineTo x="-290" y="-213"/>
                    <wp:lineTo x="-290" y="21706"/>
                    <wp:lineTo x="145" y="22558"/>
                    <wp:lineTo x="21890" y="22558"/>
                    <wp:lineTo x="22180" y="20430"/>
                    <wp:lineTo x="22180" y="3192"/>
                    <wp:lineTo x="21890" y="0"/>
                    <wp:lineTo x="21890" y="-426"/>
                    <wp:lineTo x="0" y="-426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933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4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4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5661C" w:rsidRDefault="0085661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BD62D0" w:rsidRPr="00BD62D0" w:rsidRDefault="00BD62D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D62D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HGCA Flea Beetle thresholds</w:t>
                            </w:r>
                          </w:p>
                          <w:p w:rsidR="00BD62D0" w:rsidRPr="00BD62D0" w:rsidRDefault="00BD62D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D62D0">
                              <w:rPr>
                                <w:rFonts w:ascii="Arial" w:hAnsi="Arial" w:cs="Arial"/>
                                <w:sz w:val="24"/>
                              </w:rPr>
                              <w:t>1-2 leaf stage - 25% of leaf area eaten</w:t>
                            </w:r>
                          </w:p>
                          <w:p w:rsidR="00BD62D0" w:rsidRPr="00BD62D0" w:rsidRDefault="00BD62D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D62D0">
                              <w:rPr>
                                <w:rFonts w:ascii="Arial" w:hAnsi="Arial" w:cs="Arial"/>
                                <w:sz w:val="24"/>
                              </w:rPr>
                              <w:t>3-4 leaf stage – 50% of leaf area eaten</w:t>
                            </w:r>
                          </w:p>
                          <w:p w:rsidR="00BD62D0" w:rsidRPr="00BD62D0" w:rsidRDefault="00BD62D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D62D0">
                              <w:rPr>
                                <w:rFonts w:ascii="Arial" w:hAnsi="Arial" w:cs="Arial"/>
                                <w:sz w:val="24"/>
                              </w:rPr>
                              <w:t>2 larvae per plant / larvae in 50% of petioles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1.75pt;margin-top:3pt;width:223.5pt;height:152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HxCQMAAOcGAAAOAAAAZHJzL2Uyb0RvYy54bWysVUtv2zAMvg/YfxB0b/1I3KRGnaJr12FA&#10;90DbYWdGlmOhsuRJSpzu14+SHC/obu0uhkiR1EfyI31xue8k2XFjhVYVzU5TSrhiuhZqU9Efj7cn&#10;S0qsA1WD1IpX9Jlberl6/+5i6Eue61bLmhuCQZQth76irXN9mSSWtbwDe6p7rvCy0aYDh6LZJLWB&#10;AaN3MsnT9CwZtKl7oxm3FrU38ZKuQvym4cx9axrLHZEVRWwufE34rv03WV1AuTHQt4KNMOAVKDoQ&#10;Ch+dQt2AA7I14p9QnWBGW924U6a7RDeNYDzkgNlk6YtsHlroecgFi2P7qUz2/4VlX3ffDRF1RfNs&#10;QYmCDpv0yPeOfNB7kvv6DL0t0eyhR0O3RzX2OeRq+zvNnixR+roFteFXxuih5VAjvsx7JkeuMY71&#10;QdbDF13jM7B1OgTaN6bzxcNyEIyOfXqeeuOhMFTmy9lyXuAVw7vsfDYrFkV4A8qDe2+s+8R1R/yh&#10;ogabH8LD7s46DwfKg8nYqvpWSEkaKZB5CvlJidHup3BtqPwhz41F/+BhSa8xuTSm7znKr6UhO0B2&#10;AWNcuXm4ktsOU4z6RZGmI8+cUC4qz84mpQU32WZeHYwRa5gBHz8g39hjBD7m21HMsaAjtFehyDyK&#10;t8PIZ6+BgRWaGtODa4n/VJQJw6QfGigbbO6jvkca+OkfwRIc+/E4UgLdvLUTkgdbpM7JwRg3xeEc&#10;rXFVBNJ4D6nIUNHzIi/Cc0p7NqEZlJ1wuNWk6Cq6jDUKaj8bH1Udzg6EjGdMRCrvxcO+Grmmtxji&#10;oa0HspZbcw84oUWKwSiphWf3bIkYvYAQ80V8hIDc4BZ28iWPY488+Se6riWwp4AbZN9CpOU89DNm&#10;OloH8k1ggnSEM0y4H+o43m6/3sdlclgca10/48jjWIW5xj8FHlptflMy4NatqP21BYODJz8rnKzz&#10;bD7HrFwQ5sUiR8Ec36yPb0AxDIUJUxKP1w6lmKzSV7heGhEG3++hiAQT8AJu0zhVcfP7dX0sB6u/&#10;/6fVHwAAAP//AwBQSwMEFAAGAAgAAAAhAAQdnDvdAAAACQEAAA8AAABkcnMvZG93bnJldi54bWxM&#10;j8FOwzAQRO9I/IO1SNyoU0ojCHGqisIpPZSAOLvxEqfE6yh2m/D33Z7gtqMZzb7JV5PrxAmH0HpS&#10;MJ8lIJBqb1pqFHx+vN09gghRk9GdJ1TwiwFWxfVVrjPjR3rHUxUbwSUUMq3AxthnUobaotNh5nsk&#10;9r794HRkOTTSDHrkctfJ+yRJpdMt8Qere3yxWP9UR6dgu/NfO9psDtv14XWUVVWWNi2Vur2Z1s8g&#10;Ik7xLwwXfEaHgpn2/kgmiE7BQ7pYclRBypPYf5onrPcKFpdDFrn8v6A4AwAA//8DAFBLAQItABQA&#10;BgAIAAAAIQC2gziS/gAAAOEBAAATAAAAAAAAAAAAAAAAAAAAAABbQ29udGVudF9UeXBlc10ueG1s&#10;UEsBAi0AFAAGAAgAAAAhADj9If/WAAAAlAEAAAsAAAAAAAAAAAAAAAAALwEAAF9yZWxzLy5yZWxz&#10;UEsBAi0AFAAGAAgAAAAhANGEMfEJAwAA5wYAAA4AAAAAAAAAAAAAAAAALgIAAGRycy9lMm9Eb2Mu&#10;eG1sUEsBAi0AFAAGAAgAAAAhAAQdnDvdAAAACQEAAA8AAAAAAAAAAAAAAAAAYwUAAGRycy9kb3du&#10;cmV2LnhtbFBLBQYAAAAABAAEAPMAAABtBgAAAAA=&#10;" fillcolor="#bf8f00 [2407]" stroked="f">
                <v:fill color2="#bf8f00 [2407]" rotate="t" focusposition="1" focussize="" colors="0 #e9c28c;.5 #efd8bb;1 #f7ebde" focus="100%" type="gradientRadial"/>
                <v:shadow on="t" color="black" opacity="26214f" origin="-.5,-.5" offset=".74836mm,.74836mm"/>
                <v:textbox>
                  <w:txbxContent>
                    <w:p w:rsidR="0085661C" w:rsidRDefault="0085661C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BD62D0" w:rsidRPr="00BD62D0" w:rsidRDefault="00BD62D0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D62D0">
                        <w:rPr>
                          <w:rFonts w:ascii="Arial" w:hAnsi="Arial" w:cs="Arial"/>
                          <w:b/>
                          <w:sz w:val="24"/>
                        </w:rPr>
                        <w:t>HGCA Flea Beetle thresholds</w:t>
                      </w:r>
                    </w:p>
                    <w:p w:rsidR="00BD62D0" w:rsidRPr="00BD62D0" w:rsidRDefault="00BD62D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BD62D0">
                        <w:rPr>
                          <w:rFonts w:ascii="Arial" w:hAnsi="Arial" w:cs="Arial"/>
                          <w:sz w:val="24"/>
                        </w:rPr>
                        <w:t>1-2 leaf stage - 25% of leaf area eaten</w:t>
                      </w:r>
                    </w:p>
                    <w:p w:rsidR="00BD62D0" w:rsidRPr="00BD62D0" w:rsidRDefault="00BD62D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BD62D0">
                        <w:rPr>
                          <w:rFonts w:ascii="Arial" w:hAnsi="Arial" w:cs="Arial"/>
                          <w:sz w:val="24"/>
                        </w:rPr>
                        <w:t>3-4 leaf stage – 50% of leaf area eaten</w:t>
                      </w:r>
                    </w:p>
                    <w:p w:rsidR="00BD62D0" w:rsidRPr="00BD62D0" w:rsidRDefault="00BD62D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BD62D0">
                        <w:rPr>
                          <w:rFonts w:ascii="Arial" w:hAnsi="Arial" w:cs="Arial"/>
                          <w:sz w:val="24"/>
                        </w:rPr>
                        <w:t>2 larvae per plant / larvae in 50% of petioles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D62D0" w:rsidRPr="00BD62D0">
        <w:rPr>
          <w:sz w:val="40"/>
        </w:rPr>
        <w:t>Flea Beetle</w:t>
      </w:r>
    </w:p>
    <w:p w:rsidR="003F5FEF" w:rsidRDefault="003F5FEF" w:rsidP="00573A37">
      <w:pPr>
        <w:jc w:val="both"/>
      </w:pPr>
      <w:r>
        <w:t xml:space="preserve">The </w:t>
      </w:r>
      <w:r w:rsidR="00BD62D0">
        <w:t xml:space="preserve">overriding </w:t>
      </w:r>
      <w:r>
        <w:t xml:space="preserve">message is </w:t>
      </w:r>
      <w:r w:rsidR="00BD62D0">
        <w:t xml:space="preserve">that crops need to go into good, consolidated seedbeds with moisture. Monitoring </w:t>
      </w:r>
      <w:proofErr w:type="gramStart"/>
      <w:r w:rsidR="00BD62D0">
        <w:t>has to</w:t>
      </w:r>
      <w:proofErr w:type="gramEnd"/>
      <w:r w:rsidR="00BD62D0">
        <w:t xml:space="preserve"> begin immediately, with growers prepared to spray at the thresholds (see right hand box). Pyrethroids such as </w:t>
      </w:r>
      <w:proofErr w:type="spellStart"/>
      <w:r w:rsidR="00BD62D0">
        <w:t>Toppel</w:t>
      </w:r>
      <w:proofErr w:type="spellEnd"/>
      <w:r w:rsidR="00BD62D0">
        <w:t xml:space="preserve"> and </w:t>
      </w:r>
      <w:proofErr w:type="spellStart"/>
      <w:r w:rsidR="00BD62D0">
        <w:t>Permasect</w:t>
      </w:r>
      <w:proofErr w:type="spellEnd"/>
      <w:r w:rsidR="00BD62D0">
        <w:t xml:space="preserve"> are perfectly adequate and relatively inexpensive. Monitoring mu</w:t>
      </w:r>
      <w:r w:rsidR="00A460C1">
        <w:t>st</w:t>
      </w:r>
      <w:r w:rsidR="00BD62D0">
        <w:t xml:space="preserve"> continue after spraying however, as there is </w:t>
      </w:r>
      <w:r w:rsidR="00A460C1">
        <w:t xml:space="preserve">almost </w:t>
      </w:r>
      <w:r w:rsidR="00BD62D0">
        <w:t xml:space="preserve">no </w:t>
      </w:r>
      <w:r w:rsidR="00964E6F">
        <w:t xml:space="preserve">persistence, and Flea Beetle attacks often re-occur very quickly. </w:t>
      </w:r>
    </w:p>
    <w:p w:rsidR="006646C9" w:rsidRPr="001C3AAC" w:rsidRDefault="00A460C1" w:rsidP="006646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</w:rPr>
      </w:pPr>
      <w:r w:rsidRPr="00B322E2">
        <w:rPr>
          <w:rFonts w:ascii="Calibri" w:hAnsi="Calibri" w:cs="Arial,Italic"/>
          <w:i/>
          <w:iCs/>
          <w:color w:val="0070C0"/>
        </w:rPr>
        <w:t>Cultivations</w:t>
      </w:r>
      <w:r w:rsidRPr="00A460C1">
        <w:rPr>
          <w:rFonts w:ascii="Calibri" w:hAnsi="Calibri" w:cs="Arial,Italic"/>
          <w:i/>
          <w:iCs/>
        </w:rPr>
        <w:t xml:space="preserve"> – </w:t>
      </w:r>
      <w:r w:rsidRPr="00A460C1">
        <w:rPr>
          <w:rFonts w:ascii="Calibri" w:hAnsi="Calibri" w:cs="Arial"/>
        </w:rPr>
        <w:t>A good seed bed is important in maximizing seed-soil contact</w:t>
      </w:r>
      <w:r w:rsidR="001C3AAC">
        <w:rPr>
          <w:rFonts w:ascii="Calibri" w:hAnsi="Calibri" w:cs="Arial"/>
        </w:rPr>
        <w:t xml:space="preserve"> – </w:t>
      </w:r>
      <w:proofErr w:type="spellStart"/>
      <w:r w:rsidR="001C3AAC">
        <w:rPr>
          <w:rFonts w:ascii="Calibri" w:hAnsi="Calibri" w:cs="Arial"/>
        </w:rPr>
        <w:t>ie</w:t>
      </w:r>
      <w:proofErr w:type="spellEnd"/>
      <w:r w:rsidR="001C3AAC">
        <w:rPr>
          <w:rFonts w:ascii="Calibri" w:hAnsi="Calibri" w:cs="Arial"/>
        </w:rPr>
        <w:t>. a</w:t>
      </w:r>
      <w:r w:rsidRPr="00A460C1">
        <w:rPr>
          <w:rFonts w:ascii="Calibri" w:hAnsi="Calibri" w:cs="Arial"/>
        </w:rPr>
        <w:t xml:space="preserve"> </w:t>
      </w:r>
      <w:r w:rsidR="001C3AAC">
        <w:rPr>
          <w:rFonts w:ascii="Calibri" w:hAnsi="Calibri" w:cs="Arial"/>
        </w:rPr>
        <w:t>fine</w:t>
      </w:r>
      <w:r w:rsidRPr="00A460C1">
        <w:rPr>
          <w:rFonts w:ascii="Calibri" w:hAnsi="Calibri" w:cs="Arial"/>
        </w:rPr>
        <w:t xml:space="preserve"> crumb structure will aid establishment. Seed should be sown at 2-3 cm and rolling is recommended to retain moisture. Not only will this help the crop to grow away from </w:t>
      </w:r>
      <w:r w:rsidR="001C3AAC">
        <w:rPr>
          <w:rFonts w:ascii="Calibri" w:hAnsi="Calibri" w:cs="Arial"/>
        </w:rPr>
        <w:t>CSFB</w:t>
      </w:r>
      <w:r w:rsidRPr="00A460C1">
        <w:rPr>
          <w:rFonts w:ascii="Calibri" w:hAnsi="Calibri" w:cs="Arial"/>
        </w:rPr>
        <w:t xml:space="preserve"> but it will also reduce the risk of slug damage. </w:t>
      </w:r>
      <w:r w:rsidR="008F3544">
        <w:rPr>
          <w:rFonts w:ascii="Calibri" w:hAnsi="Calibri"/>
          <w:b/>
          <w:color w:val="C00000"/>
        </w:rPr>
        <w:t>DO NOT</w:t>
      </w:r>
      <w:r w:rsidRPr="00A460C1">
        <w:rPr>
          <w:rFonts w:ascii="Calibri" w:hAnsi="Calibri"/>
          <w:b/>
          <w:color w:val="C00000"/>
        </w:rPr>
        <w:t xml:space="preserve"> DRILL </w:t>
      </w:r>
      <w:r w:rsidR="006646C9" w:rsidRPr="00A460C1">
        <w:rPr>
          <w:rFonts w:ascii="Calibri" w:hAnsi="Calibri"/>
          <w:b/>
          <w:color w:val="C00000"/>
        </w:rPr>
        <w:t xml:space="preserve">If seed beds are very dry and </w:t>
      </w:r>
      <w:proofErr w:type="spellStart"/>
      <w:r w:rsidR="006646C9" w:rsidRPr="00A460C1">
        <w:rPr>
          <w:rFonts w:ascii="Calibri" w:hAnsi="Calibri"/>
          <w:b/>
          <w:color w:val="C00000"/>
        </w:rPr>
        <w:t>cobbly</w:t>
      </w:r>
      <w:proofErr w:type="spellEnd"/>
      <w:r w:rsidR="006646C9" w:rsidRPr="00A460C1">
        <w:rPr>
          <w:rFonts w:ascii="Calibri" w:hAnsi="Calibri"/>
          <w:b/>
          <w:color w:val="C00000"/>
        </w:rPr>
        <w:t xml:space="preserve">, wait for </w:t>
      </w:r>
      <w:r w:rsidR="006646C9" w:rsidRPr="001C3AAC">
        <w:rPr>
          <w:rFonts w:ascii="Calibri" w:hAnsi="Calibri"/>
          <w:b/>
          <w:color w:val="C00000"/>
        </w:rPr>
        <w:t>more suitable conditions</w:t>
      </w:r>
      <w:r w:rsidRPr="001C3AAC">
        <w:rPr>
          <w:rFonts w:ascii="Calibri" w:hAnsi="Calibri"/>
          <w:b/>
          <w:color w:val="C00000"/>
        </w:rPr>
        <w:t xml:space="preserve"> before drilling</w:t>
      </w:r>
    </w:p>
    <w:p w:rsidR="00A460C1" w:rsidRPr="00A460C1" w:rsidRDefault="00A460C1" w:rsidP="00A460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B322E2">
        <w:rPr>
          <w:rFonts w:cs="Arial,Italic"/>
          <w:i/>
          <w:iCs/>
          <w:color w:val="0070C0"/>
        </w:rPr>
        <w:t>Sowing date</w:t>
      </w:r>
      <w:r w:rsidRPr="00A460C1">
        <w:rPr>
          <w:rFonts w:cs="Arial,Italic"/>
          <w:i/>
          <w:iCs/>
        </w:rPr>
        <w:t xml:space="preserve"> – </w:t>
      </w:r>
      <w:r w:rsidRPr="00A460C1">
        <w:rPr>
          <w:rFonts w:cs="Arial"/>
        </w:rPr>
        <w:t xml:space="preserve">Winter oilseed rape is typically drilled between mid-August and mid-September in England and Wales. High yields can be achieved from drilling anytime between mid-August and mid-September. The chance of significant yield reduction only becomes more likely for crops drilled after mid-September. Crops sown mid-August will take about </w:t>
      </w:r>
      <w:r>
        <w:rPr>
          <w:rFonts w:cs="Arial"/>
        </w:rPr>
        <w:t>7-</w:t>
      </w:r>
      <w:r w:rsidRPr="00A460C1">
        <w:rPr>
          <w:rFonts w:cs="Arial"/>
        </w:rPr>
        <w:t xml:space="preserve">10 days to emerge compared with </w:t>
      </w:r>
      <w:r>
        <w:rPr>
          <w:rFonts w:cs="Arial"/>
        </w:rPr>
        <w:t>10-</w:t>
      </w:r>
      <w:r w:rsidRPr="00A460C1">
        <w:rPr>
          <w:rFonts w:cs="Arial"/>
        </w:rPr>
        <w:t>14 days for those sown in the second half of September.</w:t>
      </w:r>
      <w:r>
        <w:rPr>
          <w:rFonts w:cs="Arial"/>
        </w:rPr>
        <w:t xml:space="preserve"> </w:t>
      </w:r>
      <w:r w:rsidR="00123023">
        <w:rPr>
          <w:rFonts w:cs="Arial"/>
        </w:rPr>
        <w:t>Flea beetle damage is often worse in August emerging crops particularly when conditions are dry &amp; warm.</w:t>
      </w:r>
    </w:p>
    <w:p w:rsidR="006646C9" w:rsidRDefault="00A460C1" w:rsidP="006646C9">
      <w:pPr>
        <w:pStyle w:val="ListParagraph"/>
        <w:numPr>
          <w:ilvl w:val="0"/>
          <w:numId w:val="1"/>
        </w:numPr>
        <w:jc w:val="both"/>
      </w:pPr>
      <w:r w:rsidRPr="00B322E2">
        <w:rPr>
          <w:i/>
          <w:color w:val="0070C0"/>
        </w:rPr>
        <w:t>Seed Rate</w:t>
      </w:r>
      <w:r>
        <w:t xml:space="preserve"> - </w:t>
      </w:r>
      <w:r w:rsidR="006646C9">
        <w:t xml:space="preserve">Use an appropriate seed rate </w:t>
      </w:r>
      <w:r>
        <w:t xml:space="preserve">70-80 seeds/m2 for conventional varieties </w:t>
      </w:r>
      <w:r w:rsidR="006646C9">
        <w:t>– 40 seeds/m</w:t>
      </w:r>
      <w:r>
        <w:t>2</w:t>
      </w:r>
      <w:r w:rsidR="006646C9">
        <w:t xml:space="preserve"> of a hybrid is highly risky</w:t>
      </w:r>
      <w:r w:rsidR="00123023">
        <w:t>. Increasing seed rates above 80 seeds/m2 is unlikely to be beneficial &amp; may lead to over-thick canopies if damage is minimal</w:t>
      </w:r>
    </w:p>
    <w:p w:rsidR="006646C9" w:rsidRDefault="001C3AAC" w:rsidP="006646C9">
      <w:pPr>
        <w:pStyle w:val="ListParagraph"/>
        <w:numPr>
          <w:ilvl w:val="0"/>
          <w:numId w:val="1"/>
        </w:numPr>
        <w:jc w:val="both"/>
      </w:pPr>
      <w:r w:rsidRPr="001C3AAC">
        <w:rPr>
          <w:i/>
          <w:color w:val="0070C0"/>
        </w:rPr>
        <w:t>Seedbed N</w:t>
      </w:r>
      <w:r>
        <w:t xml:space="preserve"> - </w:t>
      </w:r>
      <w:r w:rsidR="006646C9">
        <w:t>Consider placing a starter fertiliser with the drill if possible</w:t>
      </w:r>
      <w:r w:rsidR="00A460C1">
        <w:t xml:space="preserve"> or apply N to </w:t>
      </w:r>
      <w:r>
        <w:t xml:space="preserve">the </w:t>
      </w:r>
      <w:r w:rsidR="00A460C1">
        <w:t xml:space="preserve">seedbed ahead of drilling to ensure it is available </w:t>
      </w:r>
      <w:r>
        <w:t>to seedlings</w:t>
      </w:r>
      <w:r w:rsidR="00A460C1">
        <w:t xml:space="preserve"> from emergence</w:t>
      </w:r>
    </w:p>
    <w:p w:rsidR="006646C9" w:rsidRDefault="00B322E2" w:rsidP="006646C9">
      <w:pPr>
        <w:pStyle w:val="ListParagraph"/>
        <w:numPr>
          <w:ilvl w:val="0"/>
          <w:numId w:val="1"/>
        </w:numPr>
        <w:jc w:val="both"/>
      </w:pPr>
      <w:r w:rsidRPr="00B322E2">
        <w:rPr>
          <w:i/>
          <w:color w:val="0070C0"/>
        </w:rPr>
        <w:t>Seed Dressings</w:t>
      </w:r>
      <w:r>
        <w:t xml:space="preserve"> -  </w:t>
      </w:r>
      <w:proofErr w:type="spellStart"/>
      <w:r w:rsidR="006646C9">
        <w:t>Mesurol</w:t>
      </w:r>
      <w:proofErr w:type="spellEnd"/>
      <w:r w:rsidR="006646C9">
        <w:t xml:space="preserve"> seed dressing offers limited protection (see box below)</w:t>
      </w:r>
    </w:p>
    <w:p w:rsidR="0021186D" w:rsidRDefault="008F3544" w:rsidP="00573A37">
      <w:pPr>
        <w:jc w:val="both"/>
      </w:pPr>
      <w:r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margin">
                  <wp:posOffset>-29210</wp:posOffset>
                </wp:positionH>
                <wp:positionV relativeFrom="paragraph">
                  <wp:posOffset>323850</wp:posOffset>
                </wp:positionV>
                <wp:extent cx="5819775" cy="857250"/>
                <wp:effectExtent l="38100" t="38100" r="104775" b="95250"/>
                <wp:wrapTight wrapText="bothSides">
                  <wp:wrapPolygon edited="0">
                    <wp:start x="0" y="-960"/>
                    <wp:lineTo x="-141" y="-480"/>
                    <wp:lineTo x="-141" y="22080"/>
                    <wp:lineTo x="0" y="23520"/>
                    <wp:lineTo x="21777" y="23520"/>
                    <wp:lineTo x="21918" y="22560"/>
                    <wp:lineTo x="21918" y="7200"/>
                    <wp:lineTo x="21777" y="0"/>
                    <wp:lineTo x="21777" y="-960"/>
                    <wp:lineTo x="0" y="-96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857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75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lumMod val="75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lumMod val="75000"/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646C9" w:rsidRPr="00BD62D0" w:rsidRDefault="006646C9" w:rsidP="006646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Mesurol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seed treatment</w:t>
                            </w:r>
                          </w:p>
                          <w:p w:rsidR="006646C9" w:rsidRPr="00BD62D0" w:rsidRDefault="006646C9" w:rsidP="006646C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Mesurol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is NOT a neonicotinoid, and provides very limited activity (1-2 weeks max) on Flea Beetle only. Evidence suggests that it can slightly delay emergence.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.3pt;margin-top:25.5pt;width:458.25pt;height:67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nlSAwMAANYGAAAOAAAAZHJzL2Uyb0RvYy54bWysVU1v2zAMvQ/YfxB0b22ncZMadYouXYYB&#10;+0LbYWdalm2hsuRJSp3u14+SEi/oTmt3MUSKenoU+ejLq10vySM3VmhV0uw0pYQrpmuh2pJ+v9+c&#10;LCmxDlQNUite0idu6dXq7ZvLcSj4THda1twQBFG2GIeSds4NRZJY1vEe7KkeuMLNRpseHJqmTWoD&#10;I6L3Mpml6XkyalMPRjNuLXpv4iZdBfym4cx9bRrLHZElRW4ufE34Vv6brC6haA0MnWB7GvACFj0I&#10;hZdOUDfggGyN+AuqF8xoqxt3ynSf6KYRjIccMJssfZbNXQcDD7ng49hheib7/2DZl8dvhogaa5dR&#10;oqDHGt3znSPv9I7M/POMgy0w6m7AOLdDN4aGVO3wSbMHS5Red6Bafm2MHjsONdLL/Mnk6GjEsR6k&#10;Gj/rGq+BrdMBaNeY3r8dvgZBdCzT01QaT4WhM19mF4tFTgnDvWW+mOWhdgkUh9ODse4D1z3xi5Ia&#10;LH1Ah8dP1nk2UBxC9oWqN0JK0kiBfaewOykx2v0QrgvvfkiztXg+nLBk0JhbGrM3bbWWhjwCdtZm&#10;s07T6JfbHtOL7kXuvaHFnFAuOs/PJ6cFN8Vm3n3IyUbwQLq1x5d7xFcSmM8RJLJ6AYHME3glg9nZ&#10;vzPA8k2VGMB1xH9KyoRh0msEigarea9vse5e7HueBFW+X+57AI/5aCckD7HYKyeHYBwMh3WMxskQ&#10;usSfkIqMJb3IZ3m4TmnfPqG4vXA4xKTosTXj8wS318J7VYe1AyHjGhORyuPxMJ72zaW3CHHX1SOp&#10;5NbcAgoyTxGMklr4dj5bIkdvIMXZIl5CQLY4dJ183rixPL7bpw6tJLCHqAc5dBBbcR5KGTPdR4eW&#10;m8gE64hnULQXcZSz21W7MDvODoOi0vUTShx1FHSMPwZcdNr8omTEIVtS+3MLBpUmPyqU0kU2n/up&#10;HIw5qhoNc7xTHe+AYgiFCVMSl2uHVkxW6WscJ40ISvdzJzLBBLyBwzNqKQ56P52P7RD153e0+g0A&#10;AP//AwBQSwMEFAAGAAgAAAAhAH09sVjdAAAACQEAAA8AAABkcnMvZG93bnJldi54bWxMj0FPg0AQ&#10;he8m/ofNmHhrF4wlFFkaY9J4MmrR+8KOgLKzlF0o/feOp3qcvC9vvpfvFtuLGUffOVIQryMQSLUz&#10;HTUKPsr9KgXhgyaje0eo4IwedsX1Va4z4070jvMhNIJLyGdaQRvCkEnp6xat9ms3IHH25UarA59j&#10;I82oT1xue3kXRYm0uiP+0OoBn1qsfw6TVXCUm+NrXM/n6cWX389v5T411adStzfL4wOIgEu4wPCn&#10;z+pQsFPlJjJe9ApW9wmTCjYxT+J8G8dbEBWDaRKBLHL5f0HxCwAA//8DAFBLAQItABQABgAIAAAA&#10;IQC2gziS/gAAAOEBAAATAAAAAAAAAAAAAAAAAAAAAABbQ29udGVudF9UeXBlc10ueG1sUEsBAi0A&#10;FAAGAAgAAAAhADj9If/WAAAAlAEAAAsAAAAAAAAAAAAAAAAALwEAAF9yZWxzLy5yZWxzUEsBAi0A&#10;FAAGAAgAAAAhAD/2eVIDAwAA1gYAAA4AAAAAAAAAAAAAAAAALgIAAGRycy9lMm9Eb2MueG1sUEsB&#10;Ai0AFAAGAAgAAAAhAH09sVjdAAAACQEAAA8AAAAAAAAAAAAAAAAAXQUAAGRycy9kb3ducmV2Lnht&#10;bFBLBQYAAAAABAAEAPMAAABnBgAAAAA=&#10;" fillcolor="#e9c28c" stroked="f">
                <v:fill color2="#f7ebde" rotate="t" focusposition="1" focussize="" colors="0 #e9c28c;.5 #efd8bb;1 #f7ebde" focus="100%" type="gradientRadial"/>
                <v:shadow on="t" color="black" opacity="26214f" origin="-.5,-.5" offset=".74836mm,.74836mm"/>
                <v:textbox>
                  <w:txbxContent>
                    <w:p w:rsidR="006646C9" w:rsidRPr="00BD62D0" w:rsidRDefault="006646C9" w:rsidP="006646C9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Mesurol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seed treatment</w:t>
                      </w:r>
                    </w:p>
                    <w:p w:rsidR="006646C9" w:rsidRPr="00BD62D0" w:rsidRDefault="006646C9" w:rsidP="006646C9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Mesurol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is NOT a neonicotinoid, and provides very limited activity (1-2 weeks max) on Flea Beetle only. Evidence suggests that it can slightly delay emergence.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D62D0" w:rsidRDefault="00BD62D0" w:rsidP="00573A37">
      <w:pPr>
        <w:jc w:val="both"/>
      </w:pPr>
    </w:p>
    <w:p w:rsidR="00B322E2" w:rsidRDefault="00B322E2" w:rsidP="00B322E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C</w:t>
      </w:r>
      <w:r w:rsidR="001C3AAC">
        <w:rPr>
          <w:rFonts w:ascii="Arial,Bold" w:hAnsi="Arial,Bold" w:cs="Arial,Bold"/>
          <w:b/>
          <w:bCs/>
          <w:sz w:val="21"/>
          <w:szCs w:val="21"/>
        </w:rPr>
        <w:t xml:space="preserve">abbage </w:t>
      </w:r>
      <w:r>
        <w:rPr>
          <w:rFonts w:ascii="Arial,Bold" w:hAnsi="Arial,Bold" w:cs="Arial,Bold"/>
          <w:b/>
          <w:bCs/>
          <w:sz w:val="21"/>
          <w:szCs w:val="21"/>
        </w:rPr>
        <w:t>S</w:t>
      </w:r>
      <w:r w:rsidR="001C3AAC">
        <w:rPr>
          <w:rFonts w:ascii="Arial,Bold" w:hAnsi="Arial,Bold" w:cs="Arial,Bold"/>
          <w:b/>
          <w:bCs/>
          <w:sz w:val="21"/>
          <w:szCs w:val="21"/>
        </w:rPr>
        <w:t xml:space="preserve">tem </w:t>
      </w:r>
      <w:r>
        <w:rPr>
          <w:rFonts w:ascii="Arial,Bold" w:hAnsi="Arial,Bold" w:cs="Arial,Bold"/>
          <w:b/>
          <w:bCs/>
          <w:sz w:val="21"/>
          <w:szCs w:val="21"/>
        </w:rPr>
        <w:t>F</w:t>
      </w:r>
      <w:r w:rsidR="001C3AAC">
        <w:rPr>
          <w:rFonts w:ascii="Arial,Bold" w:hAnsi="Arial,Bold" w:cs="Arial,Bold"/>
          <w:b/>
          <w:bCs/>
          <w:sz w:val="21"/>
          <w:szCs w:val="21"/>
        </w:rPr>
        <w:t>lea</w:t>
      </w:r>
      <w:r>
        <w:rPr>
          <w:rFonts w:ascii="Arial,Bold" w:hAnsi="Arial,Bold" w:cs="Arial,Bold"/>
          <w:b/>
          <w:bCs/>
          <w:sz w:val="21"/>
          <w:szCs w:val="21"/>
        </w:rPr>
        <w:t xml:space="preserve"> Beetle </w:t>
      </w:r>
      <w:r w:rsidR="001C3AAC">
        <w:rPr>
          <w:rFonts w:ascii="Arial,Bold" w:hAnsi="Arial,Bold" w:cs="Arial,Bold"/>
          <w:b/>
          <w:bCs/>
          <w:sz w:val="21"/>
          <w:szCs w:val="21"/>
        </w:rPr>
        <w:t xml:space="preserve">(CSFB) </w:t>
      </w:r>
      <w:r>
        <w:rPr>
          <w:rFonts w:ascii="Arial,Bold" w:hAnsi="Arial,Bold" w:cs="Arial,Bold"/>
          <w:b/>
          <w:bCs/>
          <w:sz w:val="21"/>
          <w:szCs w:val="21"/>
        </w:rPr>
        <w:t>Control</w:t>
      </w:r>
    </w:p>
    <w:p w:rsidR="00B322E2" w:rsidRPr="00B322E2" w:rsidRDefault="00B322E2" w:rsidP="00B322E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322E2">
        <w:rPr>
          <w:rFonts w:cs="Arial"/>
        </w:rPr>
        <w:t xml:space="preserve">Currently pyrethroid insecticides are the only alternative to neonicotinoid seed treatments for control of </w:t>
      </w:r>
      <w:r>
        <w:rPr>
          <w:rFonts w:cs="Arial"/>
        </w:rPr>
        <w:t>CSFB</w:t>
      </w:r>
      <w:r w:rsidRPr="00B322E2">
        <w:rPr>
          <w:rFonts w:cs="Arial"/>
        </w:rPr>
        <w:t xml:space="preserve"> adults and larvae. </w:t>
      </w:r>
      <w:r>
        <w:rPr>
          <w:rFonts w:cs="Arial"/>
        </w:rPr>
        <w:t>CSFB</w:t>
      </w:r>
      <w:r w:rsidRPr="00B322E2">
        <w:rPr>
          <w:rFonts w:cs="Arial"/>
        </w:rPr>
        <w:t xml:space="preserve"> resistant to pyrethroids have been recorded in Germany so there is a risk that this could spread to the UK</w:t>
      </w:r>
      <w:r w:rsidR="001C3AAC">
        <w:rPr>
          <w:rFonts w:cs="Arial"/>
        </w:rPr>
        <w:t xml:space="preserve"> - a</w:t>
      </w:r>
      <w:r w:rsidRPr="00B322E2">
        <w:rPr>
          <w:rFonts w:cs="Arial"/>
        </w:rPr>
        <w:t xml:space="preserve">n HGCA funded project is currently investigating the extent of pyrethroid resistance in </w:t>
      </w:r>
      <w:r>
        <w:rPr>
          <w:rFonts w:cs="Arial"/>
        </w:rPr>
        <w:t>CSFB</w:t>
      </w:r>
      <w:r w:rsidRPr="00B322E2">
        <w:rPr>
          <w:rFonts w:cs="Arial"/>
        </w:rPr>
        <w:t xml:space="preserve"> in the UK. </w:t>
      </w:r>
      <w:r>
        <w:rPr>
          <w:rFonts w:cs="Arial"/>
        </w:rPr>
        <w:t>With the threat of resistance, i</w:t>
      </w:r>
      <w:r w:rsidRPr="00B322E2">
        <w:rPr>
          <w:rFonts w:cs="Arial"/>
        </w:rPr>
        <w:t xml:space="preserve">t is therefore vital that pyrethroids are used </w:t>
      </w:r>
      <w:r w:rsidR="001C3AAC">
        <w:rPr>
          <w:rFonts w:cs="Arial"/>
        </w:rPr>
        <w:t>only if needed for the control of CSFB</w:t>
      </w:r>
      <w:r w:rsidRPr="00B322E2">
        <w:rPr>
          <w:rFonts w:cs="Arial"/>
        </w:rPr>
        <w:t xml:space="preserve"> to minimise the </w:t>
      </w:r>
      <w:r w:rsidR="001C3AAC">
        <w:rPr>
          <w:rFonts w:cs="Arial"/>
        </w:rPr>
        <w:t xml:space="preserve">potential </w:t>
      </w:r>
      <w:r w:rsidRPr="00B322E2">
        <w:rPr>
          <w:rFonts w:cs="Arial"/>
        </w:rPr>
        <w:t>development and/or further spread of resistance</w:t>
      </w:r>
      <w:r w:rsidR="001C3AAC">
        <w:rPr>
          <w:rFonts w:cs="Arial"/>
        </w:rPr>
        <w:t xml:space="preserve"> (</w:t>
      </w:r>
      <w:r w:rsidR="001C3AAC" w:rsidRPr="001C3AAC">
        <w:rPr>
          <w:rFonts w:cs="Arial"/>
          <w:i/>
        </w:rPr>
        <w:t>see HGCA control threshold box above</w:t>
      </w:r>
      <w:r w:rsidR="001C3AAC">
        <w:rPr>
          <w:rFonts w:cs="Arial"/>
        </w:rPr>
        <w:t>)</w:t>
      </w:r>
      <w:r w:rsidRPr="00B322E2">
        <w:rPr>
          <w:rFonts w:cs="Arial"/>
        </w:rPr>
        <w:t>.</w:t>
      </w:r>
    </w:p>
    <w:p w:rsidR="00B322E2" w:rsidRDefault="00B322E2" w:rsidP="00573A37">
      <w:pPr>
        <w:jc w:val="both"/>
        <w:rPr>
          <w:sz w:val="36"/>
        </w:rPr>
      </w:pPr>
    </w:p>
    <w:p w:rsidR="00BD62D0" w:rsidRPr="00BD62D0" w:rsidRDefault="00BD62D0" w:rsidP="00573A37">
      <w:pPr>
        <w:jc w:val="both"/>
        <w:rPr>
          <w:sz w:val="36"/>
        </w:rPr>
      </w:pPr>
      <w:r w:rsidRPr="00BD62D0">
        <w:rPr>
          <w:sz w:val="36"/>
        </w:rPr>
        <w:t>Turnip Yellows Virus (</w:t>
      </w:r>
      <w:proofErr w:type="spellStart"/>
      <w:r w:rsidRPr="00BD62D0">
        <w:rPr>
          <w:sz w:val="36"/>
        </w:rPr>
        <w:t>TuYV</w:t>
      </w:r>
      <w:proofErr w:type="spellEnd"/>
      <w:r w:rsidRPr="00BD62D0">
        <w:rPr>
          <w:sz w:val="36"/>
        </w:rPr>
        <w:t>)</w:t>
      </w:r>
    </w:p>
    <w:p w:rsidR="00BD62D0" w:rsidRDefault="00B322E2" w:rsidP="00AD7974">
      <w:pPr>
        <w:spacing w:after="240"/>
        <w:jc w:val="both"/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344805</wp:posOffset>
            </wp:positionV>
            <wp:extent cx="1294130" cy="1800225"/>
            <wp:effectExtent l="19050" t="0" r="127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40424_121202_resized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18" b="14041"/>
                    <a:stretch/>
                  </pic:blipFill>
                  <pic:spPr bwMode="auto">
                    <a:xfrm>
                      <a:off x="0" y="0"/>
                      <a:ext cx="1294130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D62D0">
        <w:t xml:space="preserve">Spread by the Peach Potato Aphid, these fly into crops to feed, and in doing so, infect the plants with the virus. Interestingly, researchers have found that up to 72% of these aphids already carry the virus – so even where seed treatments were used in the past, by the time the aphid has </w:t>
      </w:r>
      <w:r w:rsidR="00AD7974">
        <w:t>begun feeding</w:t>
      </w:r>
      <w:r w:rsidR="00BD62D0">
        <w:t xml:space="preserve"> and taken up a lethal dose of insecticide, it has already infected the plant! </w:t>
      </w:r>
    </w:p>
    <w:p w:rsidR="00BD62D0" w:rsidRDefault="00BD62D0" w:rsidP="00AD7974">
      <w:pPr>
        <w:spacing w:after="240"/>
        <w:jc w:val="both"/>
      </w:pPr>
      <w:r>
        <w:t xml:space="preserve">For this reason, </w:t>
      </w:r>
      <w:r w:rsidR="0021186D">
        <w:t>it is very hard to estimate how much yield has be</w:t>
      </w:r>
      <w:r w:rsidR="005D0ED2">
        <w:t xml:space="preserve">en lost to </w:t>
      </w:r>
      <w:proofErr w:type="spellStart"/>
      <w:r w:rsidR="005D0ED2">
        <w:t>TuYV</w:t>
      </w:r>
      <w:proofErr w:type="spellEnd"/>
      <w:r w:rsidR="005D0ED2">
        <w:t xml:space="preserve"> in the past, and it is also </w:t>
      </w:r>
      <w:r w:rsidR="0021186D">
        <w:t xml:space="preserve">almost impossible to </w:t>
      </w:r>
      <w:r w:rsidR="005D0ED2">
        <w:t xml:space="preserve">see in the field. </w:t>
      </w:r>
      <w:r w:rsidR="0021186D">
        <w:t xml:space="preserve"> </w:t>
      </w:r>
      <w:r>
        <w:t>The yield loss has been estimated at 10-15%, but studies have shown</w:t>
      </w:r>
      <w:r w:rsidR="00AD7974">
        <w:t xml:space="preserve"> up to 40% yield loss.</w:t>
      </w:r>
    </w:p>
    <w:p w:rsidR="00DF0F21" w:rsidRDefault="0021186D" w:rsidP="00AD7974">
      <w:pPr>
        <w:spacing w:after="240"/>
        <w:jc w:val="both"/>
      </w:pPr>
      <w:r>
        <w:t xml:space="preserve">99% of aphids are resistant to pyrethroids such as </w:t>
      </w:r>
      <w:proofErr w:type="spellStart"/>
      <w:r>
        <w:t>Toppel</w:t>
      </w:r>
      <w:proofErr w:type="spellEnd"/>
      <w:r>
        <w:t xml:space="preserve"> or Hallmark</w:t>
      </w:r>
      <w:r w:rsidR="005D0ED2">
        <w:t xml:space="preserve">, and the only product which will control the aphids is Plenum. </w:t>
      </w:r>
      <w:r w:rsidR="00BD62D0">
        <w:t>Monitoring is crucial – firstly to get the timing correct – and secondly, because</w:t>
      </w:r>
      <w:r w:rsidR="005D0ED2">
        <w:t xml:space="preserve"> there is very little persistence and</w:t>
      </w:r>
      <w:r w:rsidR="00BD62D0">
        <w:t xml:space="preserve"> </w:t>
      </w:r>
      <w:r w:rsidR="005D0ED2">
        <w:t>only one application is allowed in the autumn</w:t>
      </w:r>
      <w:r w:rsidR="00BD62D0">
        <w:t xml:space="preserve">. </w:t>
      </w:r>
    </w:p>
    <w:p w:rsidR="00964E6F" w:rsidRDefault="00964E6F" w:rsidP="00AD7974">
      <w:pPr>
        <w:spacing w:after="240"/>
        <w:jc w:val="both"/>
      </w:pPr>
      <w:r>
        <w:t>The only form of cultural control is growing a resistant variety, which currently includes just a single variety, Amalie.</w:t>
      </w:r>
      <w:r w:rsidR="00DF0F21">
        <w:t xml:space="preserve"> No thresholds for spraying currently exist, but the </w:t>
      </w:r>
      <w:r>
        <w:t xml:space="preserve">key message is that aphids will need careful monitoring from the </w:t>
      </w:r>
      <w:proofErr w:type="gramStart"/>
      <w:r>
        <w:t>3 leaf</w:t>
      </w:r>
      <w:proofErr w:type="gramEnd"/>
      <w:r>
        <w:t xml:space="preserve"> stage. </w:t>
      </w:r>
      <w:proofErr w:type="spellStart"/>
      <w:r w:rsidR="00AD7974">
        <w:t>Rothamsted</w:t>
      </w:r>
      <w:proofErr w:type="spellEnd"/>
      <w:r w:rsidR="00AD7974">
        <w:t xml:space="preserve"> suction trap reports</w:t>
      </w:r>
      <w:r>
        <w:t xml:space="preserve"> </w:t>
      </w:r>
      <w:r w:rsidR="00DF0F21">
        <w:t>will also help guide us</w:t>
      </w:r>
      <w:r w:rsidR="00237BB8">
        <w:t xml:space="preserve">. </w:t>
      </w:r>
    </w:p>
    <w:p w:rsidR="00964E6F" w:rsidRPr="005D0ED2" w:rsidRDefault="00DF0F21" w:rsidP="00573A37">
      <w:pPr>
        <w:jc w:val="both"/>
        <w:rPr>
          <w:i/>
          <w:sz w:val="28"/>
        </w:rPr>
      </w:pPr>
      <w:r>
        <w:rPr>
          <w:i/>
          <w:sz w:val="28"/>
        </w:rPr>
        <w:t>W</w:t>
      </w:r>
      <w:r w:rsidR="005D0ED2" w:rsidRPr="005D0ED2">
        <w:rPr>
          <w:i/>
          <w:sz w:val="28"/>
        </w:rPr>
        <w:t>hat about beneficial insects?</w:t>
      </w:r>
    </w:p>
    <w:p w:rsidR="004645D9" w:rsidRDefault="005D0ED2" w:rsidP="00573A37">
      <w:pPr>
        <w:jc w:val="both"/>
      </w:pPr>
      <w:r>
        <w:t xml:space="preserve">NIAB TAG trials over two </w:t>
      </w:r>
      <w:proofErr w:type="gramStart"/>
      <w:r>
        <w:t>season</w:t>
      </w:r>
      <w:proofErr w:type="gramEnd"/>
      <w:r>
        <w:t xml:space="preserve"> in Kent actually showed the pyrethroids such as Hallmark – largely ineffective against Peach Potato aphids due to resistance – can actually increase </w:t>
      </w:r>
      <w:proofErr w:type="spellStart"/>
      <w:r>
        <w:t>TuYV</w:t>
      </w:r>
      <w:proofErr w:type="spellEnd"/>
      <w:r>
        <w:t xml:space="preserve"> infection. The likely explanation appears to be that more natural predators of the aphids are killed than the aphids themselves. </w:t>
      </w:r>
    </w:p>
    <w:p w:rsidR="005D0ED2" w:rsidRDefault="005D0ED2" w:rsidP="00573A37">
      <w:pPr>
        <w:jc w:val="both"/>
      </w:pPr>
      <w:r>
        <w:t xml:space="preserve">Thankfully, Plenum is classed as Low Risk to arthropod species; Ground Beetles, Ladybirds, Spiders and </w:t>
      </w:r>
      <w:proofErr w:type="gramStart"/>
      <w:r>
        <w:t>other</w:t>
      </w:r>
      <w:proofErr w:type="gramEnd"/>
      <w:r>
        <w:t xml:space="preserve"> aphid </w:t>
      </w:r>
      <w:proofErr w:type="spellStart"/>
      <w:r>
        <w:t>parasitoids</w:t>
      </w:r>
      <w:proofErr w:type="spellEnd"/>
      <w:r>
        <w:t xml:space="preserve">. </w:t>
      </w:r>
    </w:p>
    <w:p w:rsidR="00DF0F21" w:rsidRDefault="00DF0F21" w:rsidP="00573A37">
      <w:pPr>
        <w:jc w:val="both"/>
      </w:pPr>
    </w:p>
    <w:p w:rsidR="00DF0F21" w:rsidRDefault="008F3544" w:rsidP="00077EA7">
      <w:pPr>
        <w:jc w:val="both"/>
      </w:pPr>
      <w:r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356870</wp:posOffset>
                </wp:positionV>
                <wp:extent cx="5819775" cy="2226310"/>
                <wp:effectExtent l="38100" t="38100" r="104775" b="97790"/>
                <wp:wrapTight wrapText="bothSides">
                  <wp:wrapPolygon edited="0">
                    <wp:start x="0" y="-370"/>
                    <wp:lineTo x="-141" y="-185"/>
                    <wp:lineTo x="-141" y="21809"/>
                    <wp:lineTo x="0" y="22364"/>
                    <wp:lineTo x="21777" y="22364"/>
                    <wp:lineTo x="21918" y="20701"/>
                    <wp:lineTo x="21918" y="2772"/>
                    <wp:lineTo x="21777" y="0"/>
                    <wp:lineTo x="21777" y="-370"/>
                    <wp:lineTo x="0" y="-37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2263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75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lumMod val="75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lumMod val="75000"/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F0F21" w:rsidRPr="00DF0F21" w:rsidRDefault="00DF0F21" w:rsidP="00DF0F21">
                            <w:pPr>
                              <w:jc w:val="both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 w:rsidRPr="00DF0F21">
                              <w:rPr>
                                <w:rFonts w:ascii="Arial" w:hAnsi="Arial" w:cs="Arial"/>
                                <w:sz w:val="48"/>
                              </w:rPr>
                              <w:t>Key points:</w:t>
                            </w:r>
                          </w:p>
                          <w:p w:rsidR="00DF0F21" w:rsidRPr="00DF0F21" w:rsidRDefault="00DF0F21" w:rsidP="00DF0F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 w:line="360" w:lineRule="auto"/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F0F21">
                              <w:rPr>
                                <w:rFonts w:ascii="Arial" w:hAnsi="Arial" w:cs="Arial"/>
                                <w:sz w:val="24"/>
                              </w:rPr>
                              <w:t>Seedbed quality is as important as ever</w:t>
                            </w:r>
                          </w:p>
                          <w:p w:rsidR="00DF0F21" w:rsidRDefault="00DF0F21" w:rsidP="00DF0F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 w:line="360" w:lineRule="auto"/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F0F21">
                              <w:rPr>
                                <w:rFonts w:ascii="Arial" w:hAnsi="Arial" w:cs="Arial"/>
                                <w:sz w:val="24"/>
                              </w:rPr>
                              <w:t>Choose an appropriate seed rate on the day of drilling</w:t>
                            </w:r>
                          </w:p>
                          <w:p w:rsidR="00B322E2" w:rsidRPr="00DF0F21" w:rsidRDefault="00B322E2" w:rsidP="00DF0F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 w:line="360" w:lineRule="auto"/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Drill into moisture &amp; roll ASAP </w:t>
                            </w:r>
                          </w:p>
                          <w:p w:rsidR="00DF0F21" w:rsidRPr="00DF0F21" w:rsidRDefault="00DF0F21" w:rsidP="00DF0F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 w:line="360" w:lineRule="auto"/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F0F21">
                              <w:rPr>
                                <w:rFonts w:ascii="Arial" w:hAnsi="Arial" w:cs="Arial"/>
                                <w:sz w:val="24"/>
                              </w:rPr>
                              <w:t>Monitor crops immediately for signs of Flea Beetle</w:t>
                            </w:r>
                          </w:p>
                          <w:p w:rsidR="00DF0F21" w:rsidRPr="00DF0F21" w:rsidRDefault="00DF0F21" w:rsidP="00DF0F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 w:line="360" w:lineRule="auto"/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F0F21">
                              <w:rPr>
                                <w:rFonts w:ascii="Arial" w:hAnsi="Arial" w:cs="Arial"/>
                                <w:sz w:val="24"/>
                              </w:rPr>
                              <w:t>Monitor for aphids from 3 leaf stage onwards</w:t>
                            </w:r>
                          </w:p>
                          <w:p w:rsidR="00DF0F21" w:rsidRPr="00DF0F21" w:rsidRDefault="00DF0F21" w:rsidP="00DF0F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 w:line="360" w:lineRule="auto"/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F0F21">
                              <w:rPr>
                                <w:rFonts w:ascii="Arial" w:hAnsi="Arial" w:cs="Arial"/>
                                <w:sz w:val="24"/>
                              </w:rPr>
                              <w:t xml:space="preserve">Do not spray unless </w:t>
                            </w:r>
                            <w:proofErr w:type="gramStart"/>
                            <w:r w:rsidRPr="00DF0F21">
                              <w:rPr>
                                <w:rFonts w:ascii="Arial" w:hAnsi="Arial" w:cs="Arial"/>
                                <w:sz w:val="24"/>
                              </w:rPr>
                              <w:t xml:space="preserve">absolutely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necessary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28.1pt;width:458.25pt;height:175.3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FXvAwMAANYGAAAOAAAAZHJzL2Uyb0RvYy54bWysVdtu3CAQfa/Uf0C8J75kb7HijdJNt6rU&#10;m5JUfcYY2ygYKLDrTb++A3jdVfrUpC8WMwyHM8yc8dX1oRdoz4zlSpY4O08xYpKqmsu2xN8ftmcr&#10;jKwjsiZCSVbiJ2bx9frtm6tBFyxXnRI1MwhApC0GXeLOOV0kiaUd64k9V5pJ2GyU6YkD07RJbcgA&#10;6L1I8jRdJIMytTaKMmvBexs38TrgNw2j7mvTWOaQKDFwc+Frwrfy32R9RYrWEN1xOtIgL2DREy7h&#10;0gnqljiCdob/BdVzapRVjTunqk9U03DKQg6QTZY+y+a+I5qFXOBxrJ6eyf4/WPpl/80gXpd4jpEk&#10;PZTogR0ceqcOKPevM2hbQNC9hjB3ADdUOWRq9SdFHy2SatMR2bIbY9TQMVIDu8yfTE6ORhzrQarh&#10;s6rhGrJzKgAdGtP7p4PHQIAOVXqaKuOpUHDOV9nlcgkUKezleb64yELtElIcj2tj3QemeuQXJTZQ&#10;+gBP9p+s83RIcQwZC1VvuRCoERz6TkJ3YmSU+8FdF979mGdr4Xw4YZFWkFwa0zdttREG7Ql01na7&#10;SdPoF7se8ovu5dx7Q4s5Ll10LhaT0xI3xWbefczJRvBAurWnl3vEVxKYzQAksnoBgcwTeCWD/OLf&#10;GUD5pkpo4jrkPyWm3FDhNUKKBqr5oO6g7l7sI08EKh+XYw/AMR/tuGAhFnrl7BgMg+G4jtEwGUKX&#10;+BNCoqHEl/N8Hq6TyrdPKG7PHQwxwfsSr+LzBLcXw3tZh7UjXMQ1JCKkx2NhPI3NpXYAcd/VA6rE&#10;ztwRL8gUwDCquW/nixVw9AZQzJfxEkREC0PXieeNG8vju33q0EoQ+hj1IHRHYivOQiljpmN0aLmJ&#10;TLBOeAZJexVHPbtDdQizY3acFJWqn0DjoKMgZPgxwKJT5hdGAwzZEtufO2JAaeKjBCldZrOZn8rB&#10;mM2XORjmdKc63SGSAhQkjFFcbhxYMVmpbmCeNDwo3Q+eyAQS8AYMz6ilOOj9dD61Q9Sf39H6NwAA&#10;AP//AwBQSwMEFAAGAAgAAAAhANIkc6rcAAAABwEAAA8AAABkcnMvZG93bnJldi54bWxMj0FPhDAU&#10;hO8m/ofmmXhzCxshiDw2xmTjyaiL3gt9AkpfWVpY9t9bT3qczGTmm2K3mkEsNLneMkK8iUAQN1b3&#10;3CK8V/ubDITzirUaLBPCmRzsysuLQuXanviNloNvRShhlyuEzvsxl9I1HRnlNnYkDt6nnYzyQU6t&#10;1JM6hXIzyG0UpdKonsNCp0Z67Kj5PswG4SiT40vcLOf52VVfT6/VPtP1B+L11fpwD8LT6v/C8Isf&#10;0KEMTLWdWTsxIIQjHiFJtyCCexenCYga4TZKM5BlIf/zlz8AAAD//wMAUEsBAi0AFAAGAAgAAAAh&#10;ALaDOJL+AAAA4QEAABMAAAAAAAAAAAAAAAAAAAAAAFtDb250ZW50X1R5cGVzXS54bWxQSwECLQAU&#10;AAYACAAAACEAOP0h/9YAAACUAQAACwAAAAAAAAAAAAAAAAAvAQAAX3JlbHMvLnJlbHNQSwECLQAU&#10;AAYACAAAACEAdjRV7wMDAADWBgAADgAAAAAAAAAAAAAAAAAuAgAAZHJzL2Uyb0RvYy54bWxQSwEC&#10;LQAUAAYACAAAACEA0iRzqtwAAAAHAQAADwAAAAAAAAAAAAAAAABdBQAAZHJzL2Rvd25yZXYueG1s&#10;UEsFBgAAAAAEAAQA8wAAAGYGAAAAAA==&#10;" fillcolor="#e9c28c" stroked="f">
                <v:fill color2="#f7ebde" rotate="t" focusposition="1" focussize="" colors="0 #e9c28c;.5 #efd8bb;1 #f7ebde" focus="100%" type="gradientRadial"/>
                <v:shadow on="t" color="black" opacity="26214f" origin="-.5,-.5" offset=".74836mm,.74836mm"/>
                <v:textbox>
                  <w:txbxContent>
                    <w:p w:rsidR="00DF0F21" w:rsidRPr="00DF0F21" w:rsidRDefault="00DF0F21" w:rsidP="00DF0F21">
                      <w:pPr>
                        <w:jc w:val="both"/>
                        <w:rPr>
                          <w:rFonts w:ascii="Arial" w:hAnsi="Arial" w:cs="Arial"/>
                          <w:sz w:val="48"/>
                        </w:rPr>
                      </w:pPr>
                      <w:r w:rsidRPr="00DF0F21">
                        <w:rPr>
                          <w:rFonts w:ascii="Arial" w:hAnsi="Arial" w:cs="Arial"/>
                          <w:sz w:val="48"/>
                        </w:rPr>
                        <w:t>Key points:</w:t>
                      </w:r>
                    </w:p>
                    <w:p w:rsidR="00DF0F21" w:rsidRPr="00DF0F21" w:rsidRDefault="00DF0F21" w:rsidP="00DF0F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 w:line="360" w:lineRule="auto"/>
                        <w:ind w:left="714" w:hanging="357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DF0F21">
                        <w:rPr>
                          <w:rFonts w:ascii="Arial" w:hAnsi="Arial" w:cs="Arial"/>
                          <w:sz w:val="24"/>
                        </w:rPr>
                        <w:t>Seedbed quality is as important as ever</w:t>
                      </w:r>
                    </w:p>
                    <w:p w:rsidR="00DF0F21" w:rsidRDefault="00DF0F21" w:rsidP="00DF0F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 w:line="360" w:lineRule="auto"/>
                        <w:ind w:left="714" w:hanging="357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DF0F21">
                        <w:rPr>
                          <w:rFonts w:ascii="Arial" w:hAnsi="Arial" w:cs="Arial"/>
                          <w:sz w:val="24"/>
                        </w:rPr>
                        <w:t>Choose an appropriate seed rate on the day of drilling</w:t>
                      </w:r>
                    </w:p>
                    <w:p w:rsidR="00B322E2" w:rsidRPr="00DF0F21" w:rsidRDefault="00B322E2" w:rsidP="00DF0F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 w:line="360" w:lineRule="auto"/>
                        <w:ind w:left="714" w:hanging="357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Drill into moisture &amp; roll ASAP </w:t>
                      </w:r>
                    </w:p>
                    <w:p w:rsidR="00DF0F21" w:rsidRPr="00DF0F21" w:rsidRDefault="00DF0F21" w:rsidP="00DF0F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 w:line="360" w:lineRule="auto"/>
                        <w:ind w:left="714" w:hanging="357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DF0F21">
                        <w:rPr>
                          <w:rFonts w:ascii="Arial" w:hAnsi="Arial" w:cs="Arial"/>
                          <w:sz w:val="24"/>
                        </w:rPr>
                        <w:t>Monitor crops immediately for signs of Flea Beetle</w:t>
                      </w:r>
                    </w:p>
                    <w:p w:rsidR="00DF0F21" w:rsidRPr="00DF0F21" w:rsidRDefault="00DF0F21" w:rsidP="00DF0F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 w:line="360" w:lineRule="auto"/>
                        <w:ind w:left="714" w:hanging="357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DF0F21">
                        <w:rPr>
                          <w:rFonts w:ascii="Arial" w:hAnsi="Arial" w:cs="Arial"/>
                          <w:sz w:val="24"/>
                        </w:rPr>
                        <w:t>Monitor for aphids from 3 leaf stage onwards</w:t>
                      </w:r>
                    </w:p>
                    <w:p w:rsidR="00DF0F21" w:rsidRPr="00DF0F21" w:rsidRDefault="00DF0F21" w:rsidP="00DF0F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 w:line="360" w:lineRule="auto"/>
                        <w:ind w:left="714" w:hanging="357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DF0F21">
                        <w:rPr>
                          <w:rFonts w:ascii="Arial" w:hAnsi="Arial" w:cs="Arial"/>
                          <w:sz w:val="24"/>
                        </w:rPr>
                        <w:t xml:space="preserve">Do not spray unless </w:t>
                      </w:r>
                      <w:proofErr w:type="gramStart"/>
                      <w:r w:rsidRPr="00DF0F21">
                        <w:rPr>
                          <w:rFonts w:ascii="Arial" w:hAnsi="Arial" w:cs="Arial"/>
                          <w:sz w:val="24"/>
                        </w:rPr>
                        <w:t xml:space="preserve">absolutely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necessary</w:t>
                      </w:r>
                      <w:proofErr w:type="gram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77EA7">
        <w:rPr>
          <w:rFonts w:ascii="Arial" w:hAnsi="Arial" w:cs="Arial"/>
          <w:sz w:val="21"/>
          <w:szCs w:val="21"/>
        </w:rPr>
        <w:t xml:space="preserve">Routine sprays at the first sign of damage </w:t>
      </w:r>
      <w:r w:rsidR="00077EA7">
        <w:rPr>
          <w:rFonts w:ascii="Arial,Bold" w:hAnsi="Arial,Bold" w:cs="Arial,Bold"/>
          <w:b/>
          <w:bCs/>
          <w:sz w:val="21"/>
          <w:szCs w:val="21"/>
        </w:rPr>
        <w:t>must be avoided</w:t>
      </w:r>
      <w:r w:rsidR="00077EA7">
        <w:rPr>
          <w:rFonts w:ascii="Arial" w:hAnsi="Arial" w:cs="Arial"/>
          <w:sz w:val="21"/>
          <w:szCs w:val="21"/>
        </w:rPr>
        <w:t>.</w:t>
      </w:r>
    </w:p>
    <w:sectPr w:rsidR="00DF0F21" w:rsidSect="00031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5ED2"/>
    <w:multiLevelType w:val="hybridMultilevel"/>
    <w:tmpl w:val="CE6E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633DD"/>
    <w:multiLevelType w:val="hybridMultilevel"/>
    <w:tmpl w:val="7C985B1E"/>
    <w:lvl w:ilvl="0" w:tplc="8488B8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D9"/>
    <w:rsid w:val="0003181D"/>
    <w:rsid w:val="00077EA7"/>
    <w:rsid w:val="00080C91"/>
    <w:rsid w:val="00123023"/>
    <w:rsid w:val="001C3AAC"/>
    <w:rsid w:val="0021186D"/>
    <w:rsid w:val="00237BB8"/>
    <w:rsid w:val="003F5FEF"/>
    <w:rsid w:val="004645D9"/>
    <w:rsid w:val="00573A37"/>
    <w:rsid w:val="005B0BAB"/>
    <w:rsid w:val="005D0ED2"/>
    <w:rsid w:val="0064392F"/>
    <w:rsid w:val="00656A8B"/>
    <w:rsid w:val="006646C9"/>
    <w:rsid w:val="0085661C"/>
    <w:rsid w:val="008F3544"/>
    <w:rsid w:val="00964E6F"/>
    <w:rsid w:val="00A460C1"/>
    <w:rsid w:val="00A92DE4"/>
    <w:rsid w:val="00AD7974"/>
    <w:rsid w:val="00B322E2"/>
    <w:rsid w:val="00BB1396"/>
    <w:rsid w:val="00BD62D0"/>
    <w:rsid w:val="00D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3AEA14-744C-4BD5-B275-B7C08E2F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B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646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E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DD407-37A9-42D1-87CC-64CBF8F1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david jones</cp:lastModifiedBy>
  <cp:revision>2</cp:revision>
  <dcterms:created xsi:type="dcterms:W3CDTF">2014-08-04T05:32:00Z</dcterms:created>
  <dcterms:modified xsi:type="dcterms:W3CDTF">2014-08-04T05:32:00Z</dcterms:modified>
</cp:coreProperties>
</file>