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04FB" w:rsidRDefault="001304FB">
      <w:pPr>
        <w:pBdr>
          <w:bottom w:val="single" w:sz="6" w:space="1" w:color="auto"/>
        </w:pBdr>
        <w:rPr>
          <w:sz w:val="52"/>
          <w:szCs w:val="52"/>
        </w:rPr>
      </w:pPr>
      <w:r w:rsidRPr="001304FB">
        <w:rPr>
          <w:noProof/>
          <w:sz w:val="52"/>
          <w:szCs w:val="52"/>
          <w:lang w:eastAsia="en-GB"/>
        </w:rPr>
        <w:drawing>
          <wp:anchor distT="0" distB="0" distL="114300" distR="114300" simplePos="0" relativeHeight="251655680" behindDoc="0" locked="0" layoutInCell="1" allowOverlap="1">
            <wp:simplePos x="0" y="0"/>
            <wp:positionH relativeFrom="page">
              <wp:posOffset>5369560</wp:posOffset>
            </wp:positionH>
            <wp:positionV relativeFrom="paragraph">
              <wp:posOffset>152400</wp:posOffset>
            </wp:positionV>
            <wp:extent cx="1561465" cy="1123315"/>
            <wp:effectExtent l="152400" t="152400" r="362585" b="3625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 new logo.b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61465" cy="1123315"/>
                    </a:xfrm>
                    <a:prstGeom prst="rect">
                      <a:avLst/>
                    </a:prstGeom>
                    <a:ln>
                      <a:noFill/>
                    </a:ln>
                    <a:effectLst>
                      <a:outerShdw blurRad="292100" dist="139700" dir="2700000" algn="tl" rotWithShape="0">
                        <a:srgbClr val="333333">
                          <a:alpha val="65000"/>
                        </a:srgbClr>
                      </a:outerShdw>
                    </a:effectLst>
                  </pic:spPr>
                </pic:pic>
              </a:graphicData>
            </a:graphic>
          </wp:anchor>
        </w:drawing>
      </w:r>
    </w:p>
    <w:p w:rsidR="001304FB" w:rsidRPr="001304FB" w:rsidRDefault="001304FB">
      <w:pPr>
        <w:pBdr>
          <w:bottom w:val="single" w:sz="6" w:space="1" w:color="auto"/>
        </w:pBdr>
        <w:rPr>
          <w:sz w:val="60"/>
          <w:szCs w:val="60"/>
        </w:rPr>
      </w:pPr>
      <w:r w:rsidRPr="001304FB">
        <w:rPr>
          <w:sz w:val="60"/>
          <w:szCs w:val="60"/>
        </w:rPr>
        <w:t>CCC Soil Nitrogen Newsletter</w:t>
      </w:r>
    </w:p>
    <w:p w:rsidR="00686E63" w:rsidRPr="001304FB" w:rsidRDefault="001304FB">
      <w:pPr>
        <w:pBdr>
          <w:bottom w:val="single" w:sz="6" w:space="1" w:color="auto"/>
        </w:pBdr>
        <w:rPr>
          <w:rFonts w:asciiTheme="majorHAnsi" w:hAnsiTheme="majorHAnsi" w:cs="Arial"/>
          <w:color w:val="7F7F7F" w:themeColor="text1" w:themeTint="80"/>
          <w:sz w:val="32"/>
          <w:szCs w:val="32"/>
        </w:rPr>
      </w:pPr>
      <w:r w:rsidRPr="001304FB">
        <w:rPr>
          <w:rFonts w:asciiTheme="majorHAnsi" w:hAnsiTheme="majorHAnsi" w:cs="Arial"/>
          <w:color w:val="7F7F7F" w:themeColor="text1" w:themeTint="80"/>
          <w:sz w:val="32"/>
          <w:szCs w:val="32"/>
        </w:rPr>
        <w:t xml:space="preserve">March 2014 </w:t>
      </w:r>
      <w:r w:rsidRPr="001304FB">
        <w:rPr>
          <w:rFonts w:asciiTheme="majorHAnsi" w:hAnsiTheme="majorHAnsi" w:cs="Arial"/>
          <w:color w:val="7F7F7F" w:themeColor="text1" w:themeTint="80"/>
          <w:sz w:val="32"/>
          <w:szCs w:val="32"/>
        </w:rPr>
        <w:tab/>
      </w:r>
    </w:p>
    <w:p w:rsidR="006D2883" w:rsidRDefault="006D2883"/>
    <w:p w:rsidR="006D2883" w:rsidRPr="001304FB" w:rsidRDefault="00D61CAA" w:rsidP="001304FB">
      <w:pPr>
        <w:jc w:val="both"/>
        <w:rPr>
          <w:b/>
          <w:sz w:val="28"/>
          <w:szCs w:val="28"/>
        </w:rPr>
      </w:pPr>
      <w:r>
        <w:rPr>
          <w:b/>
          <w:sz w:val="28"/>
          <w:szCs w:val="28"/>
        </w:rPr>
        <w:t>Last year’s soil nitrogen levels were low. But f</w:t>
      </w:r>
      <w:r w:rsidR="006D2883" w:rsidRPr="001304FB">
        <w:rPr>
          <w:b/>
          <w:sz w:val="28"/>
          <w:szCs w:val="28"/>
        </w:rPr>
        <w:t>ew would have imagined that one of the wettest winters in living</w:t>
      </w:r>
      <w:r w:rsidR="00DF23B9">
        <w:rPr>
          <w:b/>
          <w:sz w:val="28"/>
          <w:szCs w:val="28"/>
        </w:rPr>
        <w:t xml:space="preserve"> memory</w:t>
      </w:r>
      <w:r w:rsidR="006D2883" w:rsidRPr="001304FB">
        <w:rPr>
          <w:b/>
          <w:sz w:val="28"/>
          <w:szCs w:val="28"/>
        </w:rPr>
        <w:t xml:space="preserve"> would have been succeeded by another winter of biblical rainfall. </w:t>
      </w:r>
    </w:p>
    <w:p w:rsidR="006D2883" w:rsidRPr="001304FB" w:rsidRDefault="006D2883" w:rsidP="001304FB">
      <w:pPr>
        <w:jc w:val="both"/>
        <w:rPr>
          <w:b/>
          <w:sz w:val="28"/>
          <w:szCs w:val="28"/>
        </w:rPr>
      </w:pPr>
      <w:r w:rsidRPr="001304FB">
        <w:rPr>
          <w:b/>
          <w:sz w:val="28"/>
          <w:szCs w:val="28"/>
        </w:rPr>
        <w:t>At the time of writing</w:t>
      </w:r>
      <w:r w:rsidR="001304FB" w:rsidRPr="001304FB">
        <w:rPr>
          <w:b/>
          <w:sz w:val="28"/>
          <w:szCs w:val="28"/>
        </w:rPr>
        <w:t xml:space="preserve"> however, the key differences</w:t>
      </w:r>
      <w:r w:rsidRPr="001304FB">
        <w:rPr>
          <w:b/>
          <w:sz w:val="28"/>
          <w:szCs w:val="28"/>
        </w:rPr>
        <w:t xml:space="preserve"> to last year have been</w:t>
      </w:r>
      <w:r w:rsidR="001304FB" w:rsidRPr="001304FB">
        <w:rPr>
          <w:b/>
          <w:sz w:val="28"/>
          <w:szCs w:val="28"/>
        </w:rPr>
        <w:t xml:space="preserve"> firstly, the absence of pigeons, and secondly generally mild temperatures – both of which have </w:t>
      </w:r>
      <w:r w:rsidR="008E34C6">
        <w:rPr>
          <w:b/>
          <w:sz w:val="28"/>
          <w:szCs w:val="28"/>
        </w:rPr>
        <w:t xml:space="preserve">allowed </w:t>
      </w:r>
      <w:r w:rsidR="001304FB" w:rsidRPr="001304FB">
        <w:rPr>
          <w:b/>
          <w:sz w:val="28"/>
          <w:szCs w:val="28"/>
        </w:rPr>
        <w:t>continued crop growth throughout the winter</w:t>
      </w:r>
      <w:r w:rsidR="008E34C6">
        <w:rPr>
          <w:b/>
          <w:sz w:val="28"/>
          <w:szCs w:val="28"/>
        </w:rPr>
        <w:t xml:space="preserve">, where </w:t>
      </w:r>
      <w:r w:rsidR="00AA70FC">
        <w:rPr>
          <w:b/>
          <w:sz w:val="28"/>
          <w:szCs w:val="28"/>
        </w:rPr>
        <w:t>crops have not been waterlogged, which</w:t>
      </w:r>
      <w:r w:rsidR="008E34C6">
        <w:rPr>
          <w:b/>
          <w:sz w:val="28"/>
          <w:szCs w:val="28"/>
        </w:rPr>
        <w:t xml:space="preserve"> pose</w:t>
      </w:r>
      <w:r w:rsidR="00AA70FC">
        <w:rPr>
          <w:b/>
          <w:sz w:val="28"/>
          <w:szCs w:val="28"/>
        </w:rPr>
        <w:t>s</w:t>
      </w:r>
      <w:r w:rsidR="008E34C6">
        <w:rPr>
          <w:b/>
          <w:sz w:val="28"/>
          <w:szCs w:val="28"/>
        </w:rPr>
        <w:t xml:space="preserve"> some</w:t>
      </w:r>
      <w:r w:rsidR="007255FF">
        <w:rPr>
          <w:b/>
          <w:sz w:val="28"/>
          <w:szCs w:val="28"/>
        </w:rPr>
        <w:t xml:space="preserve"> </w:t>
      </w:r>
      <w:r w:rsidR="00D61CAA">
        <w:rPr>
          <w:b/>
          <w:sz w:val="28"/>
          <w:szCs w:val="28"/>
        </w:rPr>
        <w:t>interesting questions for nitrogen management</w:t>
      </w:r>
      <w:r w:rsidR="001304FB" w:rsidRPr="001304FB">
        <w:rPr>
          <w:b/>
          <w:sz w:val="28"/>
          <w:szCs w:val="28"/>
        </w:rPr>
        <w:t xml:space="preserve">. </w:t>
      </w:r>
    </w:p>
    <w:p w:rsidR="001304FB" w:rsidRPr="001304FB" w:rsidRDefault="004A1877" w:rsidP="001304FB">
      <w:pPr>
        <w:jc w:val="both"/>
        <w:rPr>
          <w:sz w:val="24"/>
          <w:szCs w:val="24"/>
        </w:rPr>
      </w:pPr>
      <w:r>
        <w:rPr>
          <w:noProof/>
          <w:lang w:eastAsia="en-GB"/>
        </w:rPr>
        <w:drawing>
          <wp:anchor distT="215900" distB="215900" distL="288290" distR="288290" simplePos="0" relativeHeight="251656704" behindDoc="0" locked="0" layoutInCell="1" allowOverlap="1">
            <wp:simplePos x="0" y="0"/>
            <wp:positionH relativeFrom="margin">
              <wp:posOffset>2266950</wp:posOffset>
            </wp:positionH>
            <wp:positionV relativeFrom="paragraph">
              <wp:posOffset>166370</wp:posOffset>
            </wp:positionV>
            <wp:extent cx="4365625" cy="3694430"/>
            <wp:effectExtent l="0" t="0" r="15875" b="127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sidR="001304FB" w:rsidRPr="001304FB">
        <w:rPr>
          <w:sz w:val="24"/>
          <w:szCs w:val="24"/>
        </w:rPr>
        <w:t>A quick analysis of the 63</w:t>
      </w:r>
      <w:r w:rsidR="00DF23B9">
        <w:rPr>
          <w:sz w:val="24"/>
          <w:szCs w:val="24"/>
        </w:rPr>
        <w:t xml:space="preserve"> </w:t>
      </w:r>
      <w:r w:rsidR="001304FB" w:rsidRPr="001304FB">
        <w:rPr>
          <w:sz w:val="24"/>
          <w:szCs w:val="24"/>
        </w:rPr>
        <w:t xml:space="preserve">deep nitrogen tests taken this year </w:t>
      </w:r>
      <w:r w:rsidR="001304FB">
        <w:rPr>
          <w:sz w:val="24"/>
          <w:szCs w:val="24"/>
        </w:rPr>
        <w:t>underline</w:t>
      </w:r>
      <w:r w:rsidR="0079048E">
        <w:rPr>
          <w:sz w:val="24"/>
          <w:szCs w:val="24"/>
        </w:rPr>
        <w:t>s</w:t>
      </w:r>
      <w:r w:rsidR="001304FB">
        <w:rPr>
          <w:sz w:val="24"/>
          <w:szCs w:val="24"/>
        </w:rPr>
        <w:t xml:space="preserve"> the importance of understanding </w:t>
      </w:r>
      <w:r w:rsidR="0079048E">
        <w:rPr>
          <w:sz w:val="24"/>
          <w:szCs w:val="24"/>
        </w:rPr>
        <w:t>what effect this has had on</w:t>
      </w:r>
      <w:r w:rsidR="001304FB">
        <w:rPr>
          <w:sz w:val="24"/>
          <w:szCs w:val="24"/>
        </w:rPr>
        <w:t xml:space="preserve"> </w:t>
      </w:r>
      <w:r w:rsidR="0079048E">
        <w:rPr>
          <w:sz w:val="24"/>
          <w:szCs w:val="24"/>
        </w:rPr>
        <w:t xml:space="preserve">soil </w:t>
      </w:r>
      <w:r w:rsidR="001304FB">
        <w:rPr>
          <w:sz w:val="24"/>
          <w:szCs w:val="24"/>
        </w:rPr>
        <w:t>nitrogen</w:t>
      </w:r>
      <w:r w:rsidR="0079048E">
        <w:rPr>
          <w:sz w:val="24"/>
          <w:szCs w:val="24"/>
        </w:rPr>
        <w:t xml:space="preserve"> levels</w:t>
      </w:r>
      <w:r w:rsidR="001304FB">
        <w:rPr>
          <w:sz w:val="24"/>
          <w:szCs w:val="24"/>
        </w:rPr>
        <w:t xml:space="preserve">. </w:t>
      </w:r>
      <w:r w:rsidR="0079048E">
        <w:rPr>
          <w:sz w:val="24"/>
          <w:szCs w:val="24"/>
        </w:rPr>
        <w:t>As the graph below highlights, winter wheat crops generally have very low Soil Mineral Nitrogen (SMN) levels compared to recent years</w:t>
      </w:r>
      <w:r w:rsidR="00BC6EE4">
        <w:rPr>
          <w:sz w:val="24"/>
          <w:szCs w:val="24"/>
        </w:rPr>
        <w:t xml:space="preserve"> – about 15-20 kg/ha lower</w:t>
      </w:r>
      <w:r w:rsidR="008E34C6">
        <w:rPr>
          <w:sz w:val="24"/>
          <w:szCs w:val="24"/>
        </w:rPr>
        <w:t xml:space="preserve"> (some up to 40 Kg/ha)</w:t>
      </w:r>
      <w:r w:rsidR="00BC6EE4">
        <w:rPr>
          <w:sz w:val="24"/>
          <w:szCs w:val="24"/>
        </w:rPr>
        <w:t xml:space="preserve"> – </w:t>
      </w:r>
      <w:r w:rsidR="0079048E">
        <w:rPr>
          <w:sz w:val="24"/>
          <w:szCs w:val="24"/>
        </w:rPr>
        <w:t xml:space="preserve">resulting from high leaching losses. Winter rape fields </w:t>
      </w:r>
      <w:r w:rsidR="007D4205">
        <w:rPr>
          <w:sz w:val="24"/>
          <w:szCs w:val="24"/>
        </w:rPr>
        <w:t xml:space="preserve">however showed a different story, which has important implications for deciding on the final nitrogen dose to achieve the correct total application rate. </w:t>
      </w:r>
    </w:p>
    <w:p w:rsidR="001304FB" w:rsidRDefault="001304FB" w:rsidP="001304FB">
      <w:pPr>
        <w:jc w:val="both"/>
      </w:pPr>
    </w:p>
    <w:p w:rsidR="004A1877" w:rsidRDefault="007D4205" w:rsidP="001304FB">
      <w:pPr>
        <w:jc w:val="both"/>
        <w:rPr>
          <w:sz w:val="24"/>
          <w:szCs w:val="24"/>
        </w:rPr>
      </w:pPr>
      <w:r w:rsidRPr="00BC6EE4">
        <w:rPr>
          <w:sz w:val="24"/>
          <w:szCs w:val="24"/>
        </w:rPr>
        <w:t xml:space="preserve">In contrast of the trend of low soil nitrogen levels in the wheat this year, </w:t>
      </w:r>
      <w:r w:rsidR="00E91C3E" w:rsidRPr="00BC6EE4">
        <w:rPr>
          <w:sz w:val="24"/>
          <w:szCs w:val="24"/>
        </w:rPr>
        <w:t xml:space="preserve">oilseed </w:t>
      </w:r>
      <w:r w:rsidRPr="00BC6EE4">
        <w:rPr>
          <w:sz w:val="24"/>
          <w:szCs w:val="24"/>
        </w:rPr>
        <w:t>rape</w:t>
      </w:r>
      <w:r w:rsidR="00D61CAA" w:rsidRPr="00BC6EE4">
        <w:rPr>
          <w:sz w:val="24"/>
          <w:szCs w:val="24"/>
        </w:rPr>
        <w:t xml:space="preserve"> fields </w:t>
      </w:r>
      <w:r w:rsidR="00CD5669">
        <w:rPr>
          <w:sz w:val="24"/>
          <w:szCs w:val="24"/>
        </w:rPr>
        <w:t>are generally</w:t>
      </w:r>
      <w:r w:rsidR="00D61CAA" w:rsidRPr="00BC6EE4">
        <w:rPr>
          <w:sz w:val="24"/>
          <w:szCs w:val="24"/>
        </w:rPr>
        <w:t xml:space="preserve"> showing higher levels of SMN</w:t>
      </w:r>
      <w:r w:rsidRPr="00BC6EE4">
        <w:rPr>
          <w:sz w:val="24"/>
          <w:szCs w:val="24"/>
        </w:rPr>
        <w:t xml:space="preserve"> as the above graph demonstrates.</w:t>
      </w:r>
      <w:r w:rsidR="00CD5669">
        <w:rPr>
          <w:sz w:val="24"/>
          <w:szCs w:val="24"/>
        </w:rPr>
        <w:t xml:space="preserve"> Typically oilseed rape fields this year contain around 25-40kg/ha more nitrogen than the beginning of 2013, which is </w:t>
      </w:r>
      <w:r w:rsidR="00D61CAA" w:rsidRPr="00BC6EE4">
        <w:rPr>
          <w:sz w:val="24"/>
          <w:szCs w:val="24"/>
        </w:rPr>
        <w:t xml:space="preserve">of course puzzling given the amount of rainfall and potential leaching losses. </w:t>
      </w:r>
    </w:p>
    <w:p w:rsidR="003B1FD1" w:rsidRPr="00BC6EE4" w:rsidRDefault="003B1FD1" w:rsidP="001304FB">
      <w:pPr>
        <w:jc w:val="both"/>
        <w:rPr>
          <w:sz w:val="24"/>
          <w:szCs w:val="24"/>
        </w:rPr>
      </w:pPr>
    </w:p>
    <w:p w:rsidR="003B1FD1" w:rsidRDefault="003B1FD1" w:rsidP="003B1FD1">
      <w:pPr>
        <w:jc w:val="both"/>
        <w:rPr>
          <w:sz w:val="24"/>
          <w:szCs w:val="24"/>
        </w:rPr>
      </w:pPr>
    </w:p>
    <w:p w:rsidR="003B1FD1" w:rsidRDefault="003B1FD1" w:rsidP="003B1FD1">
      <w:pPr>
        <w:jc w:val="both"/>
        <w:rPr>
          <w:sz w:val="24"/>
          <w:szCs w:val="24"/>
        </w:rPr>
      </w:pPr>
    </w:p>
    <w:p w:rsidR="00E30406" w:rsidRDefault="00E30406" w:rsidP="00CD5669">
      <w:pPr>
        <w:jc w:val="both"/>
        <w:rPr>
          <w:sz w:val="24"/>
          <w:szCs w:val="24"/>
        </w:rPr>
      </w:pPr>
      <w:r>
        <w:rPr>
          <w:noProof/>
          <w:lang w:eastAsia="en-GB"/>
        </w:rPr>
        <w:drawing>
          <wp:anchor distT="180340" distB="180340" distL="288290" distR="288290" simplePos="0" relativeHeight="251657728" behindDoc="0" locked="0" layoutInCell="1" allowOverlap="1" wp14:anchorId="5125B4FC" wp14:editId="2E9D1B76">
            <wp:simplePos x="0" y="0"/>
            <wp:positionH relativeFrom="margin">
              <wp:align>left</wp:align>
            </wp:positionH>
            <wp:positionV relativeFrom="paragraph">
              <wp:posOffset>194945</wp:posOffset>
            </wp:positionV>
            <wp:extent cx="3438000" cy="2818800"/>
            <wp:effectExtent l="0" t="0" r="10160" b="635"/>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rsidR="00E30406" w:rsidRDefault="00E30406" w:rsidP="00CD5669">
      <w:pPr>
        <w:jc w:val="both"/>
        <w:rPr>
          <w:sz w:val="24"/>
          <w:szCs w:val="24"/>
        </w:rPr>
      </w:pPr>
    </w:p>
    <w:p w:rsidR="00CD5669" w:rsidRDefault="003B1FD1" w:rsidP="00CD5669">
      <w:pPr>
        <w:jc w:val="both"/>
        <w:rPr>
          <w:sz w:val="24"/>
          <w:szCs w:val="24"/>
        </w:rPr>
      </w:pPr>
      <w:r w:rsidRPr="00BC6EE4">
        <w:rPr>
          <w:sz w:val="24"/>
          <w:szCs w:val="24"/>
        </w:rPr>
        <w:t>Why is there so much more Nitrogen available than last year? It</w:t>
      </w:r>
      <w:r>
        <w:rPr>
          <w:sz w:val="24"/>
          <w:szCs w:val="24"/>
        </w:rPr>
        <w:t xml:space="preserve"> i</w:t>
      </w:r>
      <w:r w:rsidRPr="00BC6EE4">
        <w:rPr>
          <w:sz w:val="24"/>
          <w:szCs w:val="24"/>
        </w:rPr>
        <w:t>s hard to escape the fact that as crops have grown continuously and developed thick canopies in most fields, a</w:t>
      </w:r>
      <w:r w:rsidR="00CD5669">
        <w:rPr>
          <w:sz w:val="24"/>
          <w:szCs w:val="24"/>
        </w:rPr>
        <w:t>s the Soil Nitrogen Supply (SNS) graph to the left illustrates. The SNS takes into account not only what is in the soil, but also the nitrogen within the crop. Naturally, the kind autumn meant that a l</w:t>
      </w:r>
      <w:r w:rsidRPr="00BC6EE4">
        <w:rPr>
          <w:sz w:val="24"/>
          <w:szCs w:val="24"/>
        </w:rPr>
        <w:t>arge amount of nitrogen was taken up by crop</w:t>
      </w:r>
      <w:r w:rsidR="00CD5669">
        <w:rPr>
          <w:sz w:val="24"/>
          <w:szCs w:val="24"/>
        </w:rPr>
        <w:t>s</w:t>
      </w:r>
      <w:r w:rsidRPr="00BC6EE4">
        <w:rPr>
          <w:sz w:val="24"/>
          <w:szCs w:val="24"/>
        </w:rPr>
        <w:t xml:space="preserve"> before </w:t>
      </w:r>
      <w:r w:rsidR="00CD5669">
        <w:rPr>
          <w:sz w:val="24"/>
          <w:szCs w:val="24"/>
        </w:rPr>
        <w:t xml:space="preserve">significant leaching had occurred. </w:t>
      </w:r>
    </w:p>
    <w:p w:rsidR="00CD5669" w:rsidRDefault="00CB5367" w:rsidP="00CD5669">
      <w:pPr>
        <w:jc w:val="both"/>
        <w:rPr>
          <w:sz w:val="24"/>
          <w:szCs w:val="24"/>
        </w:rPr>
      </w:pPr>
      <w:r w:rsidRPr="003B1FD1">
        <w:rPr>
          <w:noProof/>
          <w:sz w:val="24"/>
          <w:szCs w:val="24"/>
          <w:lang w:eastAsia="en-GB"/>
        </w:rPr>
        <mc:AlternateContent>
          <mc:Choice Requires="wps">
            <w:drawing>
              <wp:anchor distT="252095" distB="180340" distL="323850" distR="323850" simplePos="0" relativeHeight="251660800" behindDoc="1" locked="0" layoutInCell="1" allowOverlap="1" wp14:anchorId="0B8BDA1A" wp14:editId="0F3AC082">
                <wp:simplePos x="0" y="0"/>
                <wp:positionH relativeFrom="margin">
                  <wp:posOffset>4629150</wp:posOffset>
                </wp:positionH>
                <wp:positionV relativeFrom="paragraph">
                  <wp:posOffset>161925</wp:posOffset>
                </wp:positionV>
                <wp:extent cx="1914525" cy="2543175"/>
                <wp:effectExtent l="0" t="0" r="9525" b="9525"/>
                <wp:wrapTight wrapText="bothSides">
                  <wp:wrapPolygon edited="0">
                    <wp:start x="0" y="0"/>
                    <wp:lineTo x="0" y="21519"/>
                    <wp:lineTo x="21493" y="21519"/>
                    <wp:lineTo x="2149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543175"/>
                        </a:xfrm>
                        <a:prstGeom prst="rect">
                          <a:avLst/>
                        </a:prstGeom>
                        <a:solidFill>
                          <a:srgbClr val="FFFFFF"/>
                        </a:solidFill>
                        <a:ln w="9525">
                          <a:noFill/>
                          <a:miter lim="800000"/>
                          <a:headEnd/>
                          <a:tailEnd/>
                        </a:ln>
                      </wps:spPr>
                      <wps:txbx>
                        <w:txbxContent>
                          <w:p w:rsidR="00E30406" w:rsidRPr="003B1FD1" w:rsidRDefault="00E30406" w:rsidP="00E30406">
                            <w:pPr>
                              <w:rPr>
                                <w:i/>
                                <w:sz w:val="40"/>
                                <w:szCs w:val="40"/>
                              </w:rPr>
                            </w:pPr>
                            <w:r w:rsidRPr="003B1FD1">
                              <w:rPr>
                                <w:i/>
                                <w:sz w:val="40"/>
                                <w:szCs w:val="40"/>
                              </w:rPr>
                              <w:t>“Oilseed rape canopies typically hold 50-60 kg of nitrogen for every unit of Leaf Area Index”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8BDA1A" id="_x0000_t202" coordsize="21600,21600" o:spt="202" path="m,l,21600r21600,l21600,xe">
                <v:stroke joinstyle="miter"/>
                <v:path gradientshapeok="t" o:connecttype="rect"/>
              </v:shapetype>
              <v:shape id="Text Box 2" o:spid="_x0000_s1026" type="#_x0000_t202" style="position:absolute;left:0;text-align:left;margin-left:364.5pt;margin-top:12.75pt;width:150.75pt;height:200.25pt;z-index:-251655680;visibility:visible;mso-wrap-style:square;mso-width-percent:0;mso-height-percent:0;mso-wrap-distance-left:25.5pt;mso-wrap-distance-top:19.85pt;mso-wrap-distance-right:25.5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" stroked="f">
                <v:textbox>
                  <w:txbxContent>
                    <w:p w:rsidR="00E30406" w:rsidRPr="003B1FD1" w:rsidRDefault="00E30406" w:rsidP="00E30406">
                      <w:pPr>
                        <w:rPr>
                          <w:i/>
                          <w:sz w:val="40"/>
                          <w:szCs w:val="40"/>
                        </w:rPr>
                      </w:pPr>
                      <w:r w:rsidRPr="003B1FD1">
                        <w:rPr>
                          <w:i/>
                          <w:sz w:val="40"/>
                          <w:szCs w:val="40"/>
                        </w:rPr>
                        <w:t>“Oilseed rape canopies typically hold 50-60 kg of nitrogen for every unit of Leaf Area Index”</w:t>
                      </w:r>
                    </w:p>
                  </w:txbxContent>
                </v:textbox>
                <w10:wrap type="tight" anchorx="margin"/>
              </v:shape>
            </w:pict>
          </mc:Fallback>
        </mc:AlternateContent>
      </w:r>
    </w:p>
    <w:p w:rsidR="00E30406" w:rsidRDefault="00E30406" w:rsidP="00CD5669">
      <w:pPr>
        <w:jc w:val="both"/>
        <w:rPr>
          <w:sz w:val="24"/>
          <w:szCs w:val="24"/>
        </w:rPr>
      </w:pPr>
    </w:p>
    <w:p w:rsidR="00CD5669" w:rsidRDefault="00CD5669" w:rsidP="00CD5669">
      <w:pPr>
        <w:jc w:val="both"/>
        <w:rPr>
          <w:sz w:val="24"/>
          <w:szCs w:val="24"/>
        </w:rPr>
      </w:pPr>
      <w:r>
        <w:rPr>
          <w:sz w:val="24"/>
          <w:szCs w:val="24"/>
        </w:rPr>
        <w:t>So t</w:t>
      </w:r>
      <w:r w:rsidR="003B1FD1" w:rsidRPr="00BC6EE4">
        <w:rPr>
          <w:sz w:val="24"/>
          <w:szCs w:val="24"/>
        </w:rPr>
        <w:t>here wasn’t necessarily any more nitrogen in the ground to start with this year</w:t>
      </w:r>
      <w:r w:rsidR="008E34C6">
        <w:rPr>
          <w:sz w:val="24"/>
          <w:szCs w:val="24"/>
        </w:rPr>
        <w:t xml:space="preserve"> </w:t>
      </w:r>
      <w:r w:rsidR="007255FF">
        <w:rPr>
          <w:sz w:val="24"/>
          <w:szCs w:val="24"/>
        </w:rPr>
        <w:t>(</w:t>
      </w:r>
      <w:r w:rsidR="008E34C6">
        <w:rPr>
          <w:sz w:val="24"/>
          <w:szCs w:val="24"/>
        </w:rPr>
        <w:t>except where previous wheat yields were below expectation last season</w:t>
      </w:r>
      <w:r w:rsidR="007255FF">
        <w:rPr>
          <w:sz w:val="24"/>
          <w:szCs w:val="24"/>
        </w:rPr>
        <w:t>)</w:t>
      </w:r>
      <w:r>
        <w:rPr>
          <w:sz w:val="24"/>
          <w:szCs w:val="24"/>
        </w:rPr>
        <w:t xml:space="preserve"> but c</w:t>
      </w:r>
      <w:r w:rsidR="003B1FD1" w:rsidRPr="00BC6EE4">
        <w:rPr>
          <w:sz w:val="24"/>
          <w:szCs w:val="24"/>
        </w:rPr>
        <w:t xml:space="preserve">rops were better able to utilise what was there. </w:t>
      </w:r>
    </w:p>
    <w:p w:rsidR="00E30406" w:rsidRDefault="003B1FD1" w:rsidP="00CD5669">
      <w:pPr>
        <w:jc w:val="both"/>
        <w:rPr>
          <w:sz w:val="24"/>
          <w:szCs w:val="24"/>
        </w:rPr>
      </w:pPr>
      <w:r w:rsidRPr="00BC6EE4">
        <w:rPr>
          <w:sz w:val="24"/>
          <w:szCs w:val="24"/>
        </w:rPr>
        <w:t xml:space="preserve">That said, more </w:t>
      </w:r>
      <w:r w:rsidR="00CD5669">
        <w:rPr>
          <w:sz w:val="24"/>
          <w:szCs w:val="24"/>
        </w:rPr>
        <w:t xml:space="preserve">rape </w:t>
      </w:r>
      <w:r w:rsidRPr="00BC6EE4">
        <w:rPr>
          <w:sz w:val="24"/>
          <w:szCs w:val="24"/>
        </w:rPr>
        <w:t>fields probably received autumn nitrogen this year</w:t>
      </w:r>
      <w:r w:rsidR="00CD5669">
        <w:rPr>
          <w:sz w:val="24"/>
          <w:szCs w:val="24"/>
        </w:rPr>
        <w:t xml:space="preserve"> in response to the poor autumn of 2012, </w:t>
      </w:r>
      <w:r w:rsidR="007255FF">
        <w:rPr>
          <w:sz w:val="24"/>
          <w:szCs w:val="24"/>
        </w:rPr>
        <w:t xml:space="preserve">and </w:t>
      </w:r>
      <w:r w:rsidR="00CD5669">
        <w:rPr>
          <w:sz w:val="24"/>
          <w:szCs w:val="24"/>
        </w:rPr>
        <w:t xml:space="preserve">crucially, </w:t>
      </w:r>
      <w:r w:rsidR="007255FF">
        <w:rPr>
          <w:sz w:val="24"/>
          <w:szCs w:val="24"/>
        </w:rPr>
        <w:t xml:space="preserve">a higher proportion of </w:t>
      </w:r>
      <w:r w:rsidR="00CD5669">
        <w:rPr>
          <w:sz w:val="24"/>
          <w:szCs w:val="24"/>
        </w:rPr>
        <w:t xml:space="preserve">sampled rape fields </w:t>
      </w:r>
      <w:r w:rsidR="007255FF">
        <w:rPr>
          <w:sz w:val="24"/>
          <w:szCs w:val="24"/>
        </w:rPr>
        <w:t>received organic manure</w:t>
      </w:r>
      <w:r w:rsidR="00CD5669">
        <w:rPr>
          <w:sz w:val="24"/>
          <w:szCs w:val="24"/>
        </w:rPr>
        <w:t xml:space="preserve"> </w:t>
      </w:r>
      <w:r w:rsidR="00AA70FC">
        <w:rPr>
          <w:sz w:val="24"/>
          <w:szCs w:val="24"/>
        </w:rPr>
        <w:t>(either poultry muck or sewage sludge)</w:t>
      </w:r>
      <w:r w:rsidR="007255FF">
        <w:rPr>
          <w:sz w:val="24"/>
          <w:szCs w:val="24"/>
        </w:rPr>
        <w:t xml:space="preserve"> </w:t>
      </w:r>
      <w:r w:rsidR="00CD5669">
        <w:rPr>
          <w:sz w:val="24"/>
          <w:szCs w:val="24"/>
        </w:rPr>
        <w:t xml:space="preserve">for the same reason. This effect is shown clearly in the final graph below. </w:t>
      </w:r>
    </w:p>
    <w:p w:rsidR="00CB5367" w:rsidRDefault="00CB5367" w:rsidP="00CD5669">
      <w:pPr>
        <w:jc w:val="both"/>
        <w:rPr>
          <w:sz w:val="24"/>
          <w:szCs w:val="24"/>
        </w:rPr>
      </w:pPr>
    </w:p>
    <w:p w:rsidR="00E30406" w:rsidRDefault="00E30406" w:rsidP="00CD5669">
      <w:pPr>
        <w:jc w:val="both"/>
        <w:rPr>
          <w:sz w:val="24"/>
          <w:szCs w:val="24"/>
        </w:rPr>
      </w:pPr>
      <w:r>
        <w:rPr>
          <w:noProof/>
          <w:lang w:eastAsia="en-GB"/>
        </w:rPr>
        <w:drawing>
          <wp:inline distT="0" distB="0" distL="0" distR="0" wp14:anchorId="42383F61" wp14:editId="02E44E2C">
            <wp:extent cx="6381750" cy="37433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30406" w:rsidRDefault="00E30406" w:rsidP="00CD5669">
      <w:pPr>
        <w:jc w:val="both"/>
        <w:rPr>
          <w:sz w:val="24"/>
          <w:szCs w:val="24"/>
        </w:rPr>
      </w:pPr>
    </w:p>
    <w:p w:rsidR="003B1FD1" w:rsidRDefault="007255FF" w:rsidP="00CD5669">
      <w:pPr>
        <w:jc w:val="both"/>
        <w:rPr>
          <w:sz w:val="24"/>
          <w:szCs w:val="24"/>
        </w:rPr>
      </w:pPr>
      <w:r>
        <w:rPr>
          <w:sz w:val="24"/>
          <w:szCs w:val="24"/>
        </w:rPr>
        <w:t>This</w:t>
      </w:r>
      <w:r w:rsidR="00E91C3E" w:rsidRPr="00BC6EE4">
        <w:rPr>
          <w:sz w:val="24"/>
          <w:szCs w:val="24"/>
        </w:rPr>
        <w:t xml:space="preserve"> exp</w:t>
      </w:r>
      <w:r w:rsidR="00CD5669">
        <w:rPr>
          <w:sz w:val="24"/>
          <w:szCs w:val="24"/>
        </w:rPr>
        <w:t>lains why there is more nitrogen both</w:t>
      </w:r>
      <w:r w:rsidR="00E91C3E" w:rsidRPr="00BC6EE4">
        <w:rPr>
          <w:sz w:val="24"/>
          <w:szCs w:val="24"/>
        </w:rPr>
        <w:t xml:space="preserve"> in the crop</w:t>
      </w:r>
      <w:r>
        <w:rPr>
          <w:sz w:val="24"/>
          <w:szCs w:val="24"/>
        </w:rPr>
        <w:t xml:space="preserve"> and in the soil</w:t>
      </w:r>
      <w:r w:rsidR="00CD5669">
        <w:rPr>
          <w:sz w:val="24"/>
          <w:szCs w:val="24"/>
        </w:rPr>
        <w:t>,</w:t>
      </w:r>
      <w:r>
        <w:rPr>
          <w:sz w:val="24"/>
          <w:szCs w:val="24"/>
        </w:rPr>
        <w:t xml:space="preserve"> as organic nitrogen is released more slowly and hence is available over a longer period</w:t>
      </w:r>
      <w:r w:rsidR="00AA70FC">
        <w:rPr>
          <w:sz w:val="24"/>
          <w:szCs w:val="24"/>
        </w:rPr>
        <w:t>,</w:t>
      </w:r>
      <w:r w:rsidR="008F3278">
        <w:rPr>
          <w:sz w:val="24"/>
          <w:szCs w:val="24"/>
        </w:rPr>
        <w:t xml:space="preserve"> </w:t>
      </w:r>
      <w:r w:rsidR="00AA70FC">
        <w:rPr>
          <w:sz w:val="24"/>
          <w:szCs w:val="24"/>
        </w:rPr>
        <w:t>being less prone to leaching</w:t>
      </w:r>
      <w:r>
        <w:rPr>
          <w:sz w:val="24"/>
          <w:szCs w:val="24"/>
        </w:rPr>
        <w:t>.</w:t>
      </w:r>
      <w:r w:rsidR="00E91C3E" w:rsidRPr="00BC6EE4">
        <w:rPr>
          <w:sz w:val="24"/>
          <w:szCs w:val="24"/>
        </w:rPr>
        <w:t xml:space="preserve"> A key difference between this spring and last was the effect that pigeons had at removing crop </w:t>
      </w:r>
      <w:r w:rsidR="00CD5669">
        <w:rPr>
          <w:sz w:val="24"/>
          <w:szCs w:val="24"/>
        </w:rPr>
        <w:t xml:space="preserve">leaves – and of course nitrogen. </w:t>
      </w:r>
      <w:r w:rsidR="00DA7662" w:rsidRPr="00BC6EE4">
        <w:rPr>
          <w:sz w:val="24"/>
          <w:szCs w:val="24"/>
        </w:rPr>
        <w:t>When all of the res</w:t>
      </w:r>
      <w:r w:rsidR="00CB5367">
        <w:rPr>
          <w:sz w:val="24"/>
          <w:szCs w:val="24"/>
        </w:rPr>
        <w:t xml:space="preserve">ults are laid out side by side in the graph, </w:t>
      </w:r>
      <w:r w:rsidR="00DA7662" w:rsidRPr="00BC6EE4">
        <w:rPr>
          <w:sz w:val="24"/>
          <w:szCs w:val="24"/>
        </w:rPr>
        <w:t>we can build a picture of the</w:t>
      </w:r>
      <w:r w:rsidR="00CD5669">
        <w:rPr>
          <w:sz w:val="24"/>
          <w:szCs w:val="24"/>
        </w:rPr>
        <w:t xml:space="preserve"> nitrogen</w:t>
      </w:r>
      <w:r w:rsidR="00DA7662" w:rsidRPr="00BC6EE4">
        <w:rPr>
          <w:sz w:val="24"/>
          <w:szCs w:val="24"/>
        </w:rPr>
        <w:t xml:space="preserve"> situation in a typical wheat or rape field</w:t>
      </w:r>
      <w:r w:rsidR="00CD5669">
        <w:rPr>
          <w:sz w:val="24"/>
          <w:szCs w:val="24"/>
        </w:rPr>
        <w:t>,</w:t>
      </w:r>
      <w:r w:rsidR="00CB5367">
        <w:rPr>
          <w:sz w:val="24"/>
          <w:szCs w:val="24"/>
        </w:rPr>
        <w:t xml:space="preserve"> with or without manure applied.</w:t>
      </w:r>
    </w:p>
    <w:p w:rsidR="00CB5367" w:rsidRDefault="003B1FD1" w:rsidP="00CD5669">
      <w:pPr>
        <w:tabs>
          <w:tab w:val="left" w:pos="3660"/>
        </w:tabs>
        <w:jc w:val="both"/>
        <w:rPr>
          <w:sz w:val="24"/>
          <w:szCs w:val="24"/>
        </w:rPr>
      </w:pPr>
      <w:r>
        <w:rPr>
          <w:noProof/>
          <w:sz w:val="24"/>
          <w:szCs w:val="24"/>
          <w:lang w:eastAsia="en-GB"/>
        </w:rPr>
        <w:drawing>
          <wp:anchor distT="180340" distB="180340" distL="288290" distR="288290" simplePos="0" relativeHeight="251658752" behindDoc="0" locked="0" layoutInCell="1" allowOverlap="1">
            <wp:simplePos x="0" y="0"/>
            <wp:positionH relativeFrom="margin">
              <wp:align>left</wp:align>
            </wp:positionH>
            <wp:positionV relativeFrom="paragraph">
              <wp:posOffset>297180</wp:posOffset>
            </wp:positionV>
            <wp:extent cx="2739390" cy="215963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9390" cy="2159635"/>
                    </a:xfrm>
                    <a:prstGeom prst="rect">
                      <a:avLst/>
                    </a:prstGeom>
                    <a:noFill/>
                  </pic:spPr>
                </pic:pic>
              </a:graphicData>
            </a:graphic>
          </wp:anchor>
        </w:drawing>
      </w:r>
    </w:p>
    <w:p w:rsidR="006D2883" w:rsidRPr="00BC6EE4" w:rsidRDefault="00DA7662" w:rsidP="00CD5669">
      <w:pPr>
        <w:tabs>
          <w:tab w:val="left" w:pos="3660"/>
        </w:tabs>
        <w:jc w:val="both"/>
        <w:rPr>
          <w:sz w:val="24"/>
          <w:szCs w:val="24"/>
        </w:rPr>
      </w:pPr>
      <w:r w:rsidRPr="00BC6EE4">
        <w:rPr>
          <w:sz w:val="24"/>
          <w:szCs w:val="24"/>
        </w:rPr>
        <w:t>With often around 100-plus kilograms of nitrogen in the crop canopy alone this spring, there is clearly scope to reduce nitrogen applicat</w:t>
      </w:r>
      <w:r w:rsidR="00CB5367">
        <w:rPr>
          <w:sz w:val="24"/>
          <w:szCs w:val="24"/>
        </w:rPr>
        <w:t>ions in rape crops, to achieve the</w:t>
      </w:r>
      <w:r w:rsidRPr="00BC6EE4">
        <w:rPr>
          <w:sz w:val="24"/>
          <w:szCs w:val="24"/>
        </w:rPr>
        <w:t xml:space="preserve"> target Leaf Area Index of 3.5 by flowering, the optimum dose could be around 150-180 kg /ha of N on many crops. </w:t>
      </w:r>
    </w:p>
    <w:p w:rsidR="00494CAF" w:rsidRDefault="00DA7662" w:rsidP="00CD5669">
      <w:pPr>
        <w:tabs>
          <w:tab w:val="left" w:pos="3660"/>
        </w:tabs>
        <w:jc w:val="both"/>
        <w:rPr>
          <w:sz w:val="24"/>
          <w:szCs w:val="24"/>
        </w:rPr>
      </w:pPr>
      <w:r w:rsidRPr="00BC6EE4">
        <w:rPr>
          <w:sz w:val="24"/>
          <w:szCs w:val="24"/>
        </w:rPr>
        <w:t>With lower levels of Nitrogen in wheat crops however, growers will need to apply toward the higher end of their planned fertiliser input</w:t>
      </w:r>
      <w:r w:rsidR="007255FF">
        <w:rPr>
          <w:sz w:val="24"/>
          <w:szCs w:val="24"/>
        </w:rPr>
        <w:t xml:space="preserve"> or in some cases</w:t>
      </w:r>
      <w:r w:rsidR="00494CAF">
        <w:rPr>
          <w:sz w:val="24"/>
          <w:szCs w:val="24"/>
        </w:rPr>
        <w:t xml:space="preserve"> above.</w:t>
      </w:r>
    </w:p>
    <w:p w:rsidR="00DA7662" w:rsidRPr="00BC6EE4" w:rsidRDefault="007255FF" w:rsidP="00CD5669">
      <w:pPr>
        <w:tabs>
          <w:tab w:val="left" w:pos="3660"/>
        </w:tabs>
        <w:jc w:val="both"/>
        <w:rPr>
          <w:sz w:val="24"/>
          <w:szCs w:val="24"/>
        </w:rPr>
      </w:pPr>
      <w:r>
        <w:rPr>
          <w:sz w:val="24"/>
          <w:szCs w:val="24"/>
        </w:rPr>
        <w:t xml:space="preserve"> </w:t>
      </w:r>
      <w:r w:rsidR="00DA7662" w:rsidRPr="00BC6EE4">
        <w:rPr>
          <w:sz w:val="24"/>
          <w:szCs w:val="24"/>
        </w:rPr>
        <w:t xml:space="preserve">Growers should always take account of the nitrogen applied in organic manures, and to stay within the NMAX for the crop. </w:t>
      </w:r>
    </w:p>
    <w:p w:rsidR="003B1FD1" w:rsidRDefault="003B1FD1" w:rsidP="001304FB">
      <w:pPr>
        <w:pBdr>
          <w:bottom w:val="single" w:sz="6" w:space="1" w:color="auto"/>
        </w:pBdr>
        <w:jc w:val="both"/>
        <w:rPr>
          <w:sz w:val="24"/>
          <w:szCs w:val="24"/>
        </w:rPr>
      </w:pPr>
    </w:p>
    <w:p w:rsidR="00BC6EE4" w:rsidRPr="00BC6EE4" w:rsidRDefault="00BC6EE4" w:rsidP="001304FB">
      <w:pPr>
        <w:jc w:val="both"/>
        <w:rPr>
          <w:b/>
          <w:sz w:val="24"/>
          <w:szCs w:val="24"/>
        </w:rPr>
      </w:pPr>
      <w:r w:rsidRPr="00BC6EE4">
        <w:rPr>
          <w:b/>
          <w:sz w:val="32"/>
          <w:szCs w:val="32"/>
        </w:rPr>
        <w:t>Key messages for 2014</w:t>
      </w:r>
    </w:p>
    <w:p w:rsidR="00BC6EE4" w:rsidRPr="00BC6EE4" w:rsidRDefault="00BC6EE4" w:rsidP="00BC6EE4">
      <w:pPr>
        <w:pStyle w:val="ListParagraph"/>
        <w:numPr>
          <w:ilvl w:val="0"/>
          <w:numId w:val="1"/>
        </w:numPr>
        <w:jc w:val="both"/>
        <w:rPr>
          <w:b/>
          <w:sz w:val="24"/>
          <w:szCs w:val="24"/>
        </w:rPr>
      </w:pPr>
      <w:r w:rsidRPr="00BC6EE4">
        <w:rPr>
          <w:b/>
          <w:sz w:val="24"/>
          <w:szCs w:val="24"/>
        </w:rPr>
        <w:t>Soil nitrogen levels are around 15 – 20 kg/ha lower in wheat fields than last year. Nitrogen rates will need to be maintained in most situations.</w:t>
      </w:r>
    </w:p>
    <w:p w:rsidR="00BC6EE4" w:rsidRPr="00BC6EE4" w:rsidRDefault="00BC6EE4" w:rsidP="00BC6EE4">
      <w:pPr>
        <w:pStyle w:val="ListParagraph"/>
        <w:numPr>
          <w:ilvl w:val="0"/>
          <w:numId w:val="1"/>
        </w:numPr>
        <w:jc w:val="both"/>
        <w:rPr>
          <w:b/>
          <w:sz w:val="24"/>
          <w:szCs w:val="24"/>
        </w:rPr>
      </w:pPr>
      <w:r w:rsidRPr="00BC6EE4">
        <w:rPr>
          <w:b/>
          <w:sz w:val="24"/>
          <w:szCs w:val="24"/>
        </w:rPr>
        <w:t xml:space="preserve">Oilseed rape fields have significant scope to reduce the final nitrogen dose, where the crop canopy is large. </w:t>
      </w:r>
    </w:p>
    <w:p w:rsidR="00BC6EE4" w:rsidRPr="00BC6EE4" w:rsidRDefault="00BC6EE4" w:rsidP="00BC6EE4">
      <w:pPr>
        <w:pStyle w:val="ListParagraph"/>
        <w:numPr>
          <w:ilvl w:val="0"/>
          <w:numId w:val="1"/>
        </w:numPr>
        <w:jc w:val="both"/>
        <w:rPr>
          <w:b/>
          <w:sz w:val="24"/>
          <w:szCs w:val="24"/>
        </w:rPr>
      </w:pPr>
      <w:r w:rsidRPr="00BC6EE4">
        <w:rPr>
          <w:b/>
          <w:sz w:val="24"/>
          <w:szCs w:val="24"/>
        </w:rPr>
        <w:t>Calculations must take account of nitrogen applied in organic manures.</w:t>
      </w:r>
    </w:p>
    <w:p w:rsidR="003B1FD1" w:rsidRDefault="00BC6EE4" w:rsidP="00BC6EE4">
      <w:pPr>
        <w:pStyle w:val="ListParagraph"/>
        <w:numPr>
          <w:ilvl w:val="0"/>
          <w:numId w:val="1"/>
        </w:numPr>
        <w:jc w:val="both"/>
        <w:rPr>
          <w:b/>
          <w:sz w:val="24"/>
          <w:szCs w:val="24"/>
        </w:rPr>
      </w:pPr>
      <w:r w:rsidRPr="00BC6EE4">
        <w:rPr>
          <w:b/>
          <w:sz w:val="24"/>
          <w:szCs w:val="24"/>
        </w:rPr>
        <w:t xml:space="preserve">Please retain this document with your NVZ records for justification of nitrogen application rates. </w:t>
      </w:r>
    </w:p>
    <w:p w:rsidR="003B1FD1" w:rsidRDefault="003B1FD1" w:rsidP="003B1FD1"/>
    <w:p w:rsidR="00BC6EE4" w:rsidRDefault="00BC6EE4" w:rsidP="003B1FD1"/>
    <w:p w:rsidR="003B1FD1" w:rsidRPr="000356F1" w:rsidRDefault="000356F1" w:rsidP="003B1FD1">
      <w:pPr>
        <w:rPr>
          <w:b/>
          <w:sz w:val="28"/>
          <w:szCs w:val="28"/>
        </w:rPr>
      </w:pPr>
      <w:r w:rsidRPr="000356F1">
        <w:rPr>
          <w:b/>
          <w:sz w:val="28"/>
          <w:szCs w:val="28"/>
        </w:rPr>
        <w:t>Wheat Fungicide Management Pointers 2014</w:t>
      </w:r>
    </w:p>
    <w:p w:rsidR="003B1FD1" w:rsidRPr="003B1FD1" w:rsidRDefault="000356F1" w:rsidP="003B1FD1">
      <w:r>
        <w:t>Please be aware that fungicide program costs will be notably higher than in recently years, due to a combination of higher disease levels, more forward crops, and a background of reducing triazole fungicide efficacy</w:t>
      </w:r>
      <w:r w:rsidR="00AB2355">
        <w:t xml:space="preserve"> against </w:t>
      </w:r>
      <w:proofErr w:type="spellStart"/>
      <w:r w:rsidR="00AB2355">
        <w:t>Septoria</w:t>
      </w:r>
      <w:proofErr w:type="spellEnd"/>
      <w:r w:rsidR="00AB2355">
        <w:t xml:space="preserve"> </w:t>
      </w:r>
      <w:proofErr w:type="spellStart"/>
      <w:r w:rsidR="00AB2355">
        <w:t>tritici</w:t>
      </w:r>
      <w:proofErr w:type="spellEnd"/>
      <w:r>
        <w:t xml:space="preserve">. Higher Eyespot risk and greater </w:t>
      </w:r>
      <w:proofErr w:type="spellStart"/>
      <w:r>
        <w:t>Septoria</w:t>
      </w:r>
      <w:proofErr w:type="spellEnd"/>
      <w:r>
        <w:t xml:space="preserve"> pressure in </w:t>
      </w:r>
      <w:r w:rsidR="00AB2355">
        <w:t xml:space="preserve">the more </w:t>
      </w:r>
      <w:r>
        <w:t>forward crops will necessitate increased use of the new generation of SDHI fungicides; a number of respected independent researchers have highlighted the cost effectiveness of these programs over lower cost alternatives, even in lower disease pressure years and at lower grain prices down to £100/t – spray programmes in the more disease prone varieties such as Gallant, Solstice &amp; Cordiale</w:t>
      </w:r>
      <w:r w:rsidR="00AB2355">
        <w:t xml:space="preserve"> are likely to add up to a total spend of up to £125/ha</w:t>
      </w:r>
      <w:r>
        <w:t xml:space="preserve">. </w:t>
      </w:r>
    </w:p>
    <w:sectPr w:rsidR="003B1FD1" w:rsidRPr="003B1FD1" w:rsidSect="001304F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627B79"/>
    <w:multiLevelType w:val="hybridMultilevel"/>
    <w:tmpl w:val="2F621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883"/>
    <w:rsid w:val="000356F1"/>
    <w:rsid w:val="00087032"/>
    <w:rsid w:val="001304FB"/>
    <w:rsid w:val="001629F1"/>
    <w:rsid w:val="00232CB0"/>
    <w:rsid w:val="00234C90"/>
    <w:rsid w:val="003B1FD1"/>
    <w:rsid w:val="00494CAF"/>
    <w:rsid w:val="004A1877"/>
    <w:rsid w:val="00686E63"/>
    <w:rsid w:val="006D2883"/>
    <w:rsid w:val="006E7A36"/>
    <w:rsid w:val="007255FF"/>
    <w:rsid w:val="0079048E"/>
    <w:rsid w:val="007A3806"/>
    <w:rsid w:val="007D4205"/>
    <w:rsid w:val="008E34C6"/>
    <w:rsid w:val="008F3278"/>
    <w:rsid w:val="00AA70FC"/>
    <w:rsid w:val="00AB2355"/>
    <w:rsid w:val="00BA6BCC"/>
    <w:rsid w:val="00BC6EE4"/>
    <w:rsid w:val="00CA31F5"/>
    <w:rsid w:val="00CB5367"/>
    <w:rsid w:val="00CD5669"/>
    <w:rsid w:val="00D61CAA"/>
    <w:rsid w:val="00DA7662"/>
    <w:rsid w:val="00DF23B9"/>
    <w:rsid w:val="00E30406"/>
    <w:rsid w:val="00E91C3E"/>
    <w:rsid w:val="00F24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FB6A75-BDEE-4673-AAA6-18D016FDA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6B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6EE4"/>
    <w:pPr>
      <w:ind w:left="720"/>
      <w:contextualSpacing/>
    </w:pPr>
  </w:style>
  <w:style w:type="paragraph" w:styleId="BalloonText">
    <w:name w:val="Balloon Text"/>
    <w:basedOn w:val="Normal"/>
    <w:link w:val="BalloonTextChar"/>
    <w:uiPriority w:val="99"/>
    <w:semiHidden/>
    <w:unhideWhenUsed/>
    <w:rsid w:val="008E34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4C6"/>
    <w:rPr>
      <w:rFonts w:ascii="Tahoma" w:hAnsi="Tahoma" w:cs="Tahoma"/>
      <w:sz w:val="16"/>
      <w:szCs w:val="16"/>
    </w:rPr>
  </w:style>
  <w:style w:type="character" w:styleId="Hyperlink">
    <w:name w:val="Hyperlink"/>
    <w:basedOn w:val="DefaultParagraphFont"/>
    <w:uiPriority w:val="99"/>
    <w:unhideWhenUsed/>
    <w:rsid w:val="000356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Soil Mineral Nitrogen</a:t>
            </a:r>
          </a:p>
        </c:rich>
      </c:tx>
      <c:overlay val="0"/>
      <c:spPr>
        <a:noFill/>
        <a:ln>
          <a:noFill/>
        </a:ln>
        <a:effectLst/>
      </c:spPr>
    </c:title>
    <c:autoTitleDeleted val="0"/>
    <c:plotArea>
      <c:layout/>
      <c:barChart>
        <c:barDir val="col"/>
        <c:grouping val="clustered"/>
        <c:varyColors val="0"/>
        <c:ser>
          <c:idx val="0"/>
          <c:order val="0"/>
          <c:tx>
            <c:strRef>
              <c:f>Sheet1!$J$19</c:f>
              <c:strCache>
                <c:ptCount val="1"/>
                <c:pt idx="0">
                  <c:v>WW</c:v>
                </c:pt>
              </c:strCache>
            </c:strRef>
          </c:tx>
          <c:spPr>
            <a:solidFill>
              <a:schemeClr val="accent1"/>
            </a:solidFill>
            <a:ln>
              <a:noFill/>
            </a:ln>
            <a:effectLst/>
          </c:spPr>
          <c:invertIfNegative val="0"/>
          <c:cat>
            <c:numRef>
              <c:f>Sheet1!$K$18:$M$18</c:f>
              <c:numCache>
                <c:formatCode>General</c:formatCode>
                <c:ptCount val="3"/>
                <c:pt idx="0">
                  <c:v>2012</c:v>
                </c:pt>
                <c:pt idx="1">
                  <c:v>2013</c:v>
                </c:pt>
                <c:pt idx="2">
                  <c:v>2014</c:v>
                </c:pt>
              </c:numCache>
            </c:numRef>
          </c:cat>
          <c:val>
            <c:numRef>
              <c:f>Sheet1!$K$19:$M$19</c:f>
              <c:numCache>
                <c:formatCode>General</c:formatCode>
                <c:ptCount val="3"/>
                <c:pt idx="0">
                  <c:v>70</c:v>
                </c:pt>
                <c:pt idx="1">
                  <c:v>75</c:v>
                </c:pt>
                <c:pt idx="2">
                  <c:v>53</c:v>
                </c:pt>
              </c:numCache>
            </c:numRef>
          </c:val>
          <c:extLst>
            <c:ext xmlns:c16="http://schemas.microsoft.com/office/drawing/2014/chart" uri="{C3380CC4-5D6E-409C-BE32-E72D297353CC}">
              <c16:uniqueId val="{00000000-DF20-48FA-BC7F-58EF720A44C2}"/>
            </c:ext>
          </c:extLst>
        </c:ser>
        <c:ser>
          <c:idx val="1"/>
          <c:order val="1"/>
          <c:tx>
            <c:strRef>
              <c:f>Sheet1!$J$20</c:f>
              <c:strCache>
                <c:ptCount val="1"/>
                <c:pt idx="0">
                  <c:v>OSR</c:v>
                </c:pt>
              </c:strCache>
            </c:strRef>
          </c:tx>
          <c:spPr>
            <a:solidFill>
              <a:schemeClr val="accent2"/>
            </a:solidFill>
            <a:ln>
              <a:noFill/>
            </a:ln>
            <a:effectLst/>
          </c:spPr>
          <c:invertIfNegative val="0"/>
          <c:cat>
            <c:numRef>
              <c:f>Sheet1!$K$18:$M$18</c:f>
              <c:numCache>
                <c:formatCode>General</c:formatCode>
                <c:ptCount val="3"/>
                <c:pt idx="0">
                  <c:v>2012</c:v>
                </c:pt>
                <c:pt idx="1">
                  <c:v>2013</c:v>
                </c:pt>
                <c:pt idx="2">
                  <c:v>2014</c:v>
                </c:pt>
              </c:numCache>
            </c:numRef>
          </c:cat>
          <c:val>
            <c:numRef>
              <c:f>Sheet1!$K$20:$M$20</c:f>
              <c:numCache>
                <c:formatCode>General</c:formatCode>
                <c:ptCount val="3"/>
                <c:pt idx="0">
                  <c:v>33</c:v>
                </c:pt>
                <c:pt idx="1">
                  <c:v>43</c:v>
                </c:pt>
                <c:pt idx="2">
                  <c:v>72</c:v>
                </c:pt>
              </c:numCache>
            </c:numRef>
          </c:val>
          <c:extLst>
            <c:ext xmlns:c16="http://schemas.microsoft.com/office/drawing/2014/chart" uri="{C3380CC4-5D6E-409C-BE32-E72D297353CC}">
              <c16:uniqueId val="{00000001-DF20-48FA-BC7F-58EF720A44C2}"/>
            </c:ext>
          </c:extLst>
        </c:ser>
        <c:ser>
          <c:idx val="2"/>
          <c:order val="2"/>
          <c:tx>
            <c:strRef>
              <c:f>Sheet1!$J$21</c:f>
              <c:strCache>
                <c:ptCount val="1"/>
                <c:pt idx="0">
                  <c:v>Uncropped</c:v>
                </c:pt>
              </c:strCache>
            </c:strRef>
          </c:tx>
          <c:spPr>
            <a:solidFill>
              <a:schemeClr val="accent3"/>
            </a:solidFill>
            <a:ln>
              <a:noFill/>
            </a:ln>
            <a:effectLst/>
          </c:spPr>
          <c:invertIfNegative val="0"/>
          <c:cat>
            <c:numRef>
              <c:f>Sheet1!$K$18:$M$18</c:f>
              <c:numCache>
                <c:formatCode>General</c:formatCode>
                <c:ptCount val="3"/>
                <c:pt idx="0">
                  <c:v>2012</c:v>
                </c:pt>
                <c:pt idx="1">
                  <c:v>2013</c:v>
                </c:pt>
                <c:pt idx="2">
                  <c:v>2014</c:v>
                </c:pt>
              </c:numCache>
            </c:numRef>
          </c:cat>
          <c:val>
            <c:numRef>
              <c:f>Sheet1!$K$21:$M$21</c:f>
              <c:numCache>
                <c:formatCode>General</c:formatCode>
                <c:ptCount val="3"/>
                <c:pt idx="0">
                  <c:v>107</c:v>
                </c:pt>
                <c:pt idx="1">
                  <c:v>63</c:v>
                </c:pt>
                <c:pt idx="2">
                  <c:v>79</c:v>
                </c:pt>
              </c:numCache>
            </c:numRef>
          </c:val>
          <c:extLst>
            <c:ext xmlns:c16="http://schemas.microsoft.com/office/drawing/2014/chart" uri="{C3380CC4-5D6E-409C-BE32-E72D297353CC}">
              <c16:uniqueId val="{00000002-DF20-48FA-BC7F-58EF720A44C2}"/>
            </c:ext>
          </c:extLst>
        </c:ser>
        <c:dLbls>
          <c:showLegendKey val="0"/>
          <c:showVal val="0"/>
          <c:showCatName val="0"/>
          <c:showSerName val="0"/>
          <c:showPercent val="0"/>
          <c:showBubbleSize val="0"/>
        </c:dLbls>
        <c:gapWidth val="219"/>
        <c:overlap val="-27"/>
        <c:axId val="329032944"/>
        <c:axId val="329035688"/>
      </c:barChart>
      <c:catAx>
        <c:axId val="32903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035688"/>
        <c:crosses val="autoZero"/>
        <c:auto val="1"/>
        <c:lblAlgn val="ctr"/>
        <c:lblOffset val="100"/>
        <c:noMultiLvlLbl val="0"/>
      </c:catAx>
      <c:valAx>
        <c:axId val="329035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 Mineral Nitrogen (Kg/ha 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03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Oilseed rape SNS - what is in the crop AS WELL AS the soil?</a:t>
            </a:r>
          </a:p>
        </c:rich>
      </c:tx>
      <c:layout>
        <c:manualLayout>
          <c:xMode val="edge"/>
          <c:yMode val="edge"/>
          <c:x val="0.11124995505698776"/>
          <c:y val="2.702702702702706E-2"/>
        </c:manualLayout>
      </c:layout>
      <c:overlay val="0"/>
      <c:spPr>
        <a:noFill/>
        <a:ln>
          <a:noFill/>
        </a:ln>
        <a:effectLst/>
      </c:spPr>
    </c:title>
    <c:autoTitleDeleted val="0"/>
    <c:plotArea>
      <c:layout/>
      <c:barChart>
        <c:barDir val="col"/>
        <c:grouping val="clustered"/>
        <c:varyColors val="0"/>
        <c:ser>
          <c:idx val="0"/>
          <c:order val="0"/>
          <c:spPr>
            <a:solidFill>
              <a:schemeClr val="accent6">
                <a:lumMod val="75000"/>
              </a:schemeClr>
            </a:solidFill>
            <a:ln>
              <a:noFill/>
            </a:ln>
            <a:effectLst/>
          </c:spPr>
          <c:invertIfNegative val="0"/>
          <c:errBars>
            <c:errBarType val="both"/>
            <c:errValType val="cust"/>
            <c:noEndCap val="0"/>
            <c:plus>
              <c:numRef>
                <c:f>Sheet1!$N$22:$O$22</c:f>
                <c:numCache>
                  <c:formatCode>General</c:formatCode>
                  <c:ptCount val="2"/>
                  <c:pt idx="0">
                    <c:v>47</c:v>
                  </c:pt>
                  <c:pt idx="1">
                    <c:v>53</c:v>
                  </c:pt>
                </c:numCache>
              </c:numRef>
            </c:plus>
            <c:minus>
              <c:numRef>
                <c:f>Sheet1!$N$21:$O$21</c:f>
                <c:numCache>
                  <c:formatCode>General</c:formatCode>
                  <c:ptCount val="2"/>
                  <c:pt idx="0">
                    <c:v>58</c:v>
                  </c:pt>
                  <c:pt idx="1">
                    <c:v>94</c:v>
                  </c:pt>
                </c:numCache>
              </c:numRef>
            </c:minus>
            <c:spPr>
              <a:noFill/>
              <a:ln w="9525" cap="flat" cmpd="sng" algn="ctr">
                <a:solidFill>
                  <a:schemeClr val="tx1">
                    <a:lumMod val="65000"/>
                    <a:lumOff val="35000"/>
                  </a:schemeClr>
                </a:solidFill>
                <a:round/>
              </a:ln>
              <a:effectLst/>
            </c:spPr>
          </c:errBars>
          <c:cat>
            <c:numRef>
              <c:f>Sheet1!$N$19:$O$19</c:f>
              <c:numCache>
                <c:formatCode>General</c:formatCode>
                <c:ptCount val="2"/>
                <c:pt idx="0">
                  <c:v>2013</c:v>
                </c:pt>
                <c:pt idx="1">
                  <c:v>2014</c:v>
                </c:pt>
              </c:numCache>
            </c:numRef>
          </c:cat>
          <c:val>
            <c:numRef>
              <c:f>Sheet1!$N$20:$O$20</c:f>
              <c:numCache>
                <c:formatCode>General</c:formatCode>
                <c:ptCount val="2"/>
                <c:pt idx="0">
                  <c:v>103</c:v>
                </c:pt>
                <c:pt idx="1">
                  <c:v>242</c:v>
                </c:pt>
              </c:numCache>
            </c:numRef>
          </c:val>
          <c:extLst>
            <c:ext xmlns:c16="http://schemas.microsoft.com/office/drawing/2014/chart" uri="{C3380CC4-5D6E-409C-BE32-E72D297353CC}">
              <c16:uniqueId val="{00000000-3BE7-4098-A7B4-F089F7A461B9}"/>
            </c:ext>
          </c:extLst>
        </c:ser>
        <c:dLbls>
          <c:showLegendKey val="0"/>
          <c:showVal val="0"/>
          <c:showCatName val="0"/>
          <c:showSerName val="0"/>
          <c:showPercent val="0"/>
          <c:showBubbleSize val="0"/>
        </c:dLbls>
        <c:gapWidth val="219"/>
        <c:overlap val="-27"/>
        <c:axId val="329033336"/>
        <c:axId val="329036472"/>
      </c:barChart>
      <c:catAx>
        <c:axId val="329033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036472"/>
        <c:crosses val="autoZero"/>
        <c:auto val="1"/>
        <c:lblAlgn val="ctr"/>
        <c:lblOffset val="100"/>
        <c:noMultiLvlLbl val="0"/>
      </c:catAx>
      <c:valAx>
        <c:axId val="329036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 Nitrogen Supply (kg/ha 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033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en-GB" sz="2000" baseline="0"/>
              <a:t>Effect of manure on SMN </a:t>
            </a:r>
          </a:p>
        </c:rich>
      </c:tx>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564849210196619E-2"/>
          <c:y val="0.10154688569472964"/>
          <c:w val="0.85495541867805402"/>
          <c:h val="0.75313252167914324"/>
        </c:manualLayout>
      </c:layout>
      <c:barChart>
        <c:barDir val="col"/>
        <c:grouping val="clustered"/>
        <c:varyColors val="0"/>
        <c:ser>
          <c:idx val="0"/>
          <c:order val="0"/>
          <c:tx>
            <c:v>Manure</c:v>
          </c:tx>
          <c:spPr>
            <a:solidFill>
              <a:schemeClr val="accent1"/>
            </a:solidFill>
            <a:ln>
              <a:noFill/>
            </a:ln>
            <a:effectLst/>
          </c:spPr>
          <c:invertIfNegative val="0"/>
          <c:dPt>
            <c:idx val="4"/>
            <c:invertIfNegative val="0"/>
            <c:bubble3D val="0"/>
            <c:spPr>
              <a:solidFill>
                <a:schemeClr val="bg2">
                  <a:lumMod val="50000"/>
                </a:schemeClr>
              </a:solidFill>
              <a:ln>
                <a:noFill/>
              </a:ln>
              <a:effectLst/>
            </c:spPr>
            <c:extLst>
              <c:ext xmlns:c16="http://schemas.microsoft.com/office/drawing/2014/chart" uri="{C3380CC4-5D6E-409C-BE32-E72D297353CC}">
                <c16:uniqueId val="{00000001-9FA4-4C8D-BF52-35C8446AFC88}"/>
              </c:ext>
            </c:extLst>
          </c:dPt>
          <c:dPt>
            <c:idx val="5"/>
            <c:invertIfNegative val="0"/>
            <c:bubble3D val="0"/>
            <c:spPr>
              <a:solidFill>
                <a:schemeClr val="bg2">
                  <a:lumMod val="50000"/>
                </a:schemeClr>
              </a:solidFill>
              <a:ln>
                <a:noFill/>
              </a:ln>
              <a:effectLst/>
            </c:spPr>
            <c:extLst>
              <c:ext xmlns:c16="http://schemas.microsoft.com/office/drawing/2014/chart" uri="{C3380CC4-5D6E-409C-BE32-E72D297353CC}">
                <c16:uniqueId val="{00000003-9FA4-4C8D-BF52-35C8446AFC88}"/>
              </c:ext>
            </c:extLst>
          </c:dPt>
          <c:dPt>
            <c:idx val="6"/>
            <c:invertIfNegative val="0"/>
            <c:bubble3D val="0"/>
            <c:spPr>
              <a:solidFill>
                <a:schemeClr val="bg2">
                  <a:lumMod val="50000"/>
                </a:schemeClr>
              </a:solidFill>
              <a:ln>
                <a:noFill/>
              </a:ln>
              <a:effectLst/>
            </c:spPr>
            <c:extLst>
              <c:ext xmlns:c16="http://schemas.microsoft.com/office/drawing/2014/chart" uri="{C3380CC4-5D6E-409C-BE32-E72D297353CC}">
                <c16:uniqueId val="{00000005-9FA4-4C8D-BF52-35C8446AFC88}"/>
              </c:ext>
            </c:extLst>
          </c:dPt>
          <c:dPt>
            <c:idx val="7"/>
            <c:invertIfNegative val="0"/>
            <c:bubble3D val="0"/>
            <c:spPr>
              <a:solidFill>
                <a:schemeClr val="bg2">
                  <a:lumMod val="50000"/>
                </a:schemeClr>
              </a:solidFill>
              <a:ln>
                <a:noFill/>
              </a:ln>
              <a:effectLst/>
            </c:spPr>
            <c:extLst>
              <c:ext xmlns:c16="http://schemas.microsoft.com/office/drawing/2014/chart" uri="{C3380CC4-5D6E-409C-BE32-E72D297353CC}">
                <c16:uniqueId val="{00000007-9FA4-4C8D-BF52-35C8446AFC88}"/>
              </c:ext>
            </c:extLst>
          </c:dPt>
          <c:dPt>
            <c:idx val="8"/>
            <c:invertIfNegative val="0"/>
            <c:bubble3D val="0"/>
            <c:spPr>
              <a:solidFill>
                <a:schemeClr val="bg2">
                  <a:lumMod val="50000"/>
                </a:schemeClr>
              </a:solidFill>
              <a:ln>
                <a:noFill/>
              </a:ln>
              <a:effectLst/>
            </c:spPr>
            <c:extLst>
              <c:ext xmlns:c16="http://schemas.microsoft.com/office/drawing/2014/chart" uri="{C3380CC4-5D6E-409C-BE32-E72D297353CC}">
                <c16:uniqueId val="{00000009-9FA4-4C8D-BF52-35C8446AFC88}"/>
              </c:ext>
            </c:extLst>
          </c:dPt>
          <c:dPt>
            <c:idx val="55"/>
            <c:invertIfNegative val="0"/>
            <c:bubble3D val="0"/>
            <c:spPr>
              <a:solidFill>
                <a:schemeClr val="bg2">
                  <a:lumMod val="50000"/>
                </a:schemeClr>
              </a:solidFill>
              <a:ln>
                <a:noFill/>
              </a:ln>
              <a:effectLst/>
            </c:spPr>
            <c:extLst>
              <c:ext xmlns:c16="http://schemas.microsoft.com/office/drawing/2014/chart" uri="{C3380CC4-5D6E-409C-BE32-E72D297353CC}">
                <c16:uniqueId val="{0000000B-9FA4-4C8D-BF52-35C8446AFC88}"/>
              </c:ext>
            </c:extLst>
          </c:dPt>
          <c:dPt>
            <c:idx val="56"/>
            <c:invertIfNegative val="0"/>
            <c:bubble3D val="0"/>
            <c:spPr>
              <a:solidFill>
                <a:schemeClr val="bg2">
                  <a:lumMod val="50000"/>
                </a:schemeClr>
              </a:solidFill>
              <a:ln>
                <a:noFill/>
              </a:ln>
              <a:effectLst/>
            </c:spPr>
            <c:extLst>
              <c:ext xmlns:c16="http://schemas.microsoft.com/office/drawing/2014/chart" uri="{C3380CC4-5D6E-409C-BE32-E72D297353CC}">
                <c16:uniqueId val="{0000000D-9FA4-4C8D-BF52-35C8446AFC88}"/>
              </c:ext>
            </c:extLst>
          </c:dPt>
          <c:dPt>
            <c:idx val="57"/>
            <c:invertIfNegative val="0"/>
            <c:bubble3D val="0"/>
            <c:spPr>
              <a:solidFill>
                <a:schemeClr val="bg2">
                  <a:lumMod val="50000"/>
                </a:schemeClr>
              </a:solidFill>
              <a:ln>
                <a:noFill/>
              </a:ln>
              <a:effectLst/>
            </c:spPr>
            <c:extLst>
              <c:ext xmlns:c16="http://schemas.microsoft.com/office/drawing/2014/chart" uri="{C3380CC4-5D6E-409C-BE32-E72D297353CC}">
                <c16:uniqueId val="{0000000F-9FA4-4C8D-BF52-35C8446AFC88}"/>
              </c:ext>
            </c:extLst>
          </c:dPt>
          <c:dPt>
            <c:idx val="58"/>
            <c:invertIfNegative val="0"/>
            <c:bubble3D val="0"/>
            <c:spPr>
              <a:solidFill>
                <a:schemeClr val="bg2">
                  <a:lumMod val="50000"/>
                </a:schemeClr>
              </a:solidFill>
              <a:ln>
                <a:noFill/>
              </a:ln>
              <a:effectLst/>
            </c:spPr>
            <c:extLst>
              <c:ext xmlns:c16="http://schemas.microsoft.com/office/drawing/2014/chart" uri="{C3380CC4-5D6E-409C-BE32-E72D297353CC}">
                <c16:uniqueId val="{00000011-9FA4-4C8D-BF52-35C8446AFC88}"/>
              </c:ext>
            </c:extLst>
          </c:dPt>
          <c:dPt>
            <c:idx val="59"/>
            <c:invertIfNegative val="0"/>
            <c:bubble3D val="0"/>
            <c:spPr>
              <a:solidFill>
                <a:schemeClr val="bg2">
                  <a:lumMod val="50000"/>
                </a:schemeClr>
              </a:solidFill>
              <a:ln>
                <a:noFill/>
              </a:ln>
              <a:effectLst/>
            </c:spPr>
            <c:extLst>
              <c:ext xmlns:c16="http://schemas.microsoft.com/office/drawing/2014/chart" uri="{C3380CC4-5D6E-409C-BE32-E72D297353CC}">
                <c16:uniqueId val="{00000013-9FA4-4C8D-BF52-35C8446AFC88}"/>
              </c:ext>
            </c:extLst>
          </c:dPt>
          <c:dPt>
            <c:idx val="60"/>
            <c:invertIfNegative val="0"/>
            <c:bubble3D val="0"/>
            <c:spPr>
              <a:solidFill>
                <a:schemeClr val="bg2">
                  <a:lumMod val="50000"/>
                </a:schemeClr>
              </a:solidFill>
              <a:ln>
                <a:noFill/>
              </a:ln>
              <a:effectLst/>
            </c:spPr>
            <c:extLst>
              <c:ext xmlns:c16="http://schemas.microsoft.com/office/drawing/2014/chart" uri="{C3380CC4-5D6E-409C-BE32-E72D297353CC}">
                <c16:uniqueId val="{00000015-9FA4-4C8D-BF52-35C8446AFC88}"/>
              </c:ext>
            </c:extLst>
          </c:dPt>
          <c:dPt>
            <c:idx val="61"/>
            <c:invertIfNegative val="0"/>
            <c:bubble3D val="0"/>
            <c:spPr>
              <a:solidFill>
                <a:schemeClr val="bg2">
                  <a:lumMod val="50000"/>
                </a:schemeClr>
              </a:solidFill>
              <a:ln>
                <a:noFill/>
              </a:ln>
              <a:effectLst/>
            </c:spPr>
            <c:extLst>
              <c:ext xmlns:c16="http://schemas.microsoft.com/office/drawing/2014/chart" uri="{C3380CC4-5D6E-409C-BE32-E72D297353CC}">
                <c16:uniqueId val="{00000017-9FA4-4C8D-BF52-35C8446AFC88}"/>
              </c:ext>
            </c:extLst>
          </c:dPt>
          <c:cat>
            <c:strRef>
              <c:f>Manure!$B$5:$B$66</c:f>
              <c:strCache>
                <c:ptCount val="62"/>
                <c:pt idx="0">
                  <c:v>Uncropped</c:v>
                </c:pt>
                <c:pt idx="1">
                  <c:v>Uncropped</c:v>
                </c:pt>
                <c:pt idx="2">
                  <c:v>WOSR</c:v>
                </c:pt>
                <c:pt idx="3">
                  <c:v>WOSR</c:v>
                </c:pt>
                <c:pt idx="4">
                  <c:v>WOSR</c:v>
                </c:pt>
                <c:pt idx="5">
                  <c:v>WOSR</c:v>
                </c:pt>
                <c:pt idx="6">
                  <c:v>WOSR</c:v>
                </c:pt>
                <c:pt idx="7">
                  <c:v>WOSR</c:v>
                </c:pt>
                <c:pt idx="8">
                  <c:v>WOSR</c:v>
                </c:pt>
                <c:pt idx="9">
                  <c:v>WW</c:v>
                </c:pt>
                <c:pt idx="10">
                  <c:v>WW</c:v>
                </c:pt>
                <c:pt idx="11">
                  <c:v>WW</c:v>
                </c:pt>
                <c:pt idx="12">
                  <c:v>WW</c:v>
                </c:pt>
                <c:pt idx="13">
                  <c:v>WW</c:v>
                </c:pt>
                <c:pt idx="14">
                  <c:v>WW</c:v>
                </c:pt>
                <c:pt idx="15">
                  <c:v>WW</c:v>
                </c:pt>
                <c:pt idx="16">
                  <c:v>WW</c:v>
                </c:pt>
                <c:pt idx="17">
                  <c:v>WW</c:v>
                </c:pt>
                <c:pt idx="18">
                  <c:v>WW</c:v>
                </c:pt>
                <c:pt idx="19">
                  <c:v>WW</c:v>
                </c:pt>
                <c:pt idx="20">
                  <c:v>WW</c:v>
                </c:pt>
                <c:pt idx="21">
                  <c:v>WW</c:v>
                </c:pt>
                <c:pt idx="22">
                  <c:v>WW</c:v>
                </c:pt>
                <c:pt idx="23">
                  <c:v>WW</c:v>
                </c:pt>
                <c:pt idx="24">
                  <c:v>WW</c:v>
                </c:pt>
                <c:pt idx="25">
                  <c:v>WW</c:v>
                </c:pt>
                <c:pt idx="26">
                  <c:v>WW</c:v>
                </c:pt>
                <c:pt idx="27">
                  <c:v>WW</c:v>
                </c:pt>
                <c:pt idx="28">
                  <c:v>WW</c:v>
                </c:pt>
                <c:pt idx="29">
                  <c:v>WW</c:v>
                </c:pt>
                <c:pt idx="30">
                  <c:v>WW</c:v>
                </c:pt>
                <c:pt idx="31">
                  <c:v>WW</c:v>
                </c:pt>
                <c:pt idx="32">
                  <c:v>WW</c:v>
                </c:pt>
                <c:pt idx="33">
                  <c:v>WW</c:v>
                </c:pt>
                <c:pt idx="34">
                  <c:v>WW</c:v>
                </c:pt>
                <c:pt idx="35">
                  <c:v>WW</c:v>
                </c:pt>
                <c:pt idx="36">
                  <c:v>WW</c:v>
                </c:pt>
                <c:pt idx="37">
                  <c:v>WW</c:v>
                </c:pt>
                <c:pt idx="38">
                  <c:v>WW</c:v>
                </c:pt>
                <c:pt idx="39">
                  <c:v>WW</c:v>
                </c:pt>
                <c:pt idx="40">
                  <c:v>WW</c:v>
                </c:pt>
                <c:pt idx="41">
                  <c:v>WW</c:v>
                </c:pt>
                <c:pt idx="42">
                  <c:v>WW</c:v>
                </c:pt>
                <c:pt idx="43">
                  <c:v>WW</c:v>
                </c:pt>
                <c:pt idx="44">
                  <c:v>WW</c:v>
                </c:pt>
                <c:pt idx="45">
                  <c:v>WW</c:v>
                </c:pt>
                <c:pt idx="46">
                  <c:v>WW</c:v>
                </c:pt>
                <c:pt idx="47">
                  <c:v>WW</c:v>
                </c:pt>
                <c:pt idx="48">
                  <c:v>WW</c:v>
                </c:pt>
                <c:pt idx="49">
                  <c:v>WW</c:v>
                </c:pt>
                <c:pt idx="50">
                  <c:v>WW</c:v>
                </c:pt>
                <c:pt idx="51">
                  <c:v>WW</c:v>
                </c:pt>
                <c:pt idx="52">
                  <c:v>WW</c:v>
                </c:pt>
                <c:pt idx="53">
                  <c:v>WW</c:v>
                </c:pt>
                <c:pt idx="54">
                  <c:v>WW</c:v>
                </c:pt>
                <c:pt idx="55">
                  <c:v>WW</c:v>
                </c:pt>
                <c:pt idx="56">
                  <c:v>WW</c:v>
                </c:pt>
                <c:pt idx="57">
                  <c:v>WW</c:v>
                </c:pt>
                <c:pt idx="58">
                  <c:v>WW</c:v>
                </c:pt>
                <c:pt idx="59">
                  <c:v>WW</c:v>
                </c:pt>
                <c:pt idx="60">
                  <c:v>WW</c:v>
                </c:pt>
                <c:pt idx="61">
                  <c:v>WW</c:v>
                </c:pt>
              </c:strCache>
            </c:strRef>
          </c:cat>
          <c:val>
            <c:numRef>
              <c:f>Manure!$C$5:$C$66</c:f>
              <c:numCache>
                <c:formatCode>General</c:formatCode>
                <c:ptCount val="62"/>
                <c:pt idx="0">
                  <c:v>76</c:v>
                </c:pt>
                <c:pt idx="1">
                  <c:v>82</c:v>
                </c:pt>
                <c:pt idx="2">
                  <c:v>30</c:v>
                </c:pt>
                <c:pt idx="3" formatCode="0">
                  <c:v>37</c:v>
                </c:pt>
                <c:pt idx="4">
                  <c:v>49</c:v>
                </c:pt>
                <c:pt idx="5">
                  <c:v>73</c:v>
                </c:pt>
                <c:pt idx="6">
                  <c:v>90</c:v>
                </c:pt>
                <c:pt idx="7">
                  <c:v>110</c:v>
                </c:pt>
                <c:pt idx="8">
                  <c:v>118</c:v>
                </c:pt>
                <c:pt idx="9">
                  <c:v>7</c:v>
                </c:pt>
                <c:pt idx="10" formatCode="0">
                  <c:v>9</c:v>
                </c:pt>
                <c:pt idx="11" formatCode="0">
                  <c:v>10</c:v>
                </c:pt>
                <c:pt idx="12">
                  <c:v>11</c:v>
                </c:pt>
                <c:pt idx="13" formatCode="0">
                  <c:v>13</c:v>
                </c:pt>
                <c:pt idx="14" formatCode="0">
                  <c:v>17</c:v>
                </c:pt>
                <c:pt idx="15" formatCode="0">
                  <c:v>19</c:v>
                </c:pt>
                <c:pt idx="16" formatCode="0">
                  <c:v>19</c:v>
                </c:pt>
                <c:pt idx="17" formatCode="0">
                  <c:v>20</c:v>
                </c:pt>
                <c:pt idx="18">
                  <c:v>21</c:v>
                </c:pt>
                <c:pt idx="19" formatCode="0">
                  <c:v>21</c:v>
                </c:pt>
                <c:pt idx="20" formatCode="0">
                  <c:v>23</c:v>
                </c:pt>
                <c:pt idx="21">
                  <c:v>25</c:v>
                </c:pt>
                <c:pt idx="22" formatCode="0">
                  <c:v>25</c:v>
                </c:pt>
                <c:pt idx="23" formatCode="0">
                  <c:v>26</c:v>
                </c:pt>
                <c:pt idx="24">
                  <c:v>27</c:v>
                </c:pt>
                <c:pt idx="25">
                  <c:v>28</c:v>
                </c:pt>
                <c:pt idx="26">
                  <c:v>30</c:v>
                </c:pt>
                <c:pt idx="27">
                  <c:v>30</c:v>
                </c:pt>
                <c:pt idx="28" formatCode="0">
                  <c:v>32</c:v>
                </c:pt>
                <c:pt idx="29">
                  <c:v>33</c:v>
                </c:pt>
                <c:pt idx="30">
                  <c:v>33</c:v>
                </c:pt>
                <c:pt idx="31">
                  <c:v>36</c:v>
                </c:pt>
                <c:pt idx="32" formatCode="0">
                  <c:v>37</c:v>
                </c:pt>
                <c:pt idx="33">
                  <c:v>38</c:v>
                </c:pt>
                <c:pt idx="34">
                  <c:v>39</c:v>
                </c:pt>
                <c:pt idx="35" formatCode="0">
                  <c:v>40</c:v>
                </c:pt>
                <c:pt idx="36" formatCode="0">
                  <c:v>42</c:v>
                </c:pt>
                <c:pt idx="37">
                  <c:v>43</c:v>
                </c:pt>
                <c:pt idx="38" formatCode="0">
                  <c:v>43</c:v>
                </c:pt>
                <c:pt idx="39" formatCode="0">
                  <c:v>46</c:v>
                </c:pt>
                <c:pt idx="40">
                  <c:v>49</c:v>
                </c:pt>
                <c:pt idx="41">
                  <c:v>49</c:v>
                </c:pt>
                <c:pt idx="42">
                  <c:v>50</c:v>
                </c:pt>
                <c:pt idx="43" formatCode="0">
                  <c:v>52</c:v>
                </c:pt>
                <c:pt idx="44">
                  <c:v>53</c:v>
                </c:pt>
                <c:pt idx="45">
                  <c:v>56</c:v>
                </c:pt>
                <c:pt idx="46" formatCode="0">
                  <c:v>56</c:v>
                </c:pt>
                <c:pt idx="47">
                  <c:v>58</c:v>
                </c:pt>
                <c:pt idx="48" formatCode="0">
                  <c:v>65</c:v>
                </c:pt>
                <c:pt idx="49">
                  <c:v>77</c:v>
                </c:pt>
                <c:pt idx="50" formatCode="0">
                  <c:v>77</c:v>
                </c:pt>
                <c:pt idx="51">
                  <c:v>93</c:v>
                </c:pt>
                <c:pt idx="52" formatCode="0">
                  <c:v>96</c:v>
                </c:pt>
                <c:pt idx="53">
                  <c:v>114</c:v>
                </c:pt>
                <c:pt idx="54" formatCode="0">
                  <c:v>117</c:v>
                </c:pt>
                <c:pt idx="55">
                  <c:v>78</c:v>
                </c:pt>
                <c:pt idx="56" formatCode="0">
                  <c:v>78</c:v>
                </c:pt>
                <c:pt idx="57">
                  <c:v>111</c:v>
                </c:pt>
                <c:pt idx="58">
                  <c:v>113</c:v>
                </c:pt>
                <c:pt idx="59">
                  <c:v>115</c:v>
                </c:pt>
                <c:pt idx="60">
                  <c:v>129</c:v>
                </c:pt>
                <c:pt idx="61">
                  <c:v>150</c:v>
                </c:pt>
              </c:numCache>
            </c:numRef>
          </c:val>
          <c:extLst>
            <c:ext xmlns:c16="http://schemas.microsoft.com/office/drawing/2014/chart" uri="{C3380CC4-5D6E-409C-BE32-E72D297353CC}">
              <c16:uniqueId val="{00000018-9FA4-4C8D-BF52-35C8446AFC88}"/>
            </c:ext>
          </c:extLst>
        </c:ser>
        <c:ser>
          <c:idx val="1"/>
          <c:order val="1"/>
          <c:tx>
            <c:v>No Manure applied</c:v>
          </c:tx>
          <c:spPr>
            <a:solidFill>
              <a:schemeClr val="bg2">
                <a:lumMod val="50000"/>
              </a:schemeClr>
            </a:solidFill>
            <a:ln>
              <a:noFill/>
            </a:ln>
            <a:effectLst/>
          </c:spPr>
          <c:invertIfNegative val="0"/>
          <c:val>
            <c:numLit>
              <c:formatCode>General</c:formatCode>
              <c:ptCount val="1"/>
              <c:pt idx="0">
                <c:v>1</c:v>
              </c:pt>
            </c:numLit>
          </c:val>
          <c:extLst>
            <c:ext xmlns:c16="http://schemas.microsoft.com/office/drawing/2014/chart" uri="{C3380CC4-5D6E-409C-BE32-E72D297353CC}">
              <c16:uniqueId val="{00000019-9FA4-4C8D-BF52-35C8446AFC88}"/>
            </c:ext>
          </c:extLst>
        </c:ser>
        <c:dLbls>
          <c:showLegendKey val="0"/>
          <c:showVal val="0"/>
          <c:showCatName val="0"/>
          <c:showSerName val="0"/>
          <c:showPercent val="0"/>
          <c:showBubbleSize val="0"/>
        </c:dLbls>
        <c:gapWidth val="219"/>
        <c:overlap val="-27"/>
        <c:axId val="329029416"/>
        <c:axId val="291157328"/>
      </c:barChart>
      <c:catAx>
        <c:axId val="329029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157328"/>
        <c:crosses val="autoZero"/>
        <c:auto val="1"/>
        <c:lblAlgn val="ctr"/>
        <c:lblOffset val="100"/>
        <c:noMultiLvlLbl val="0"/>
      </c:catAx>
      <c:valAx>
        <c:axId val="291157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SMN Kg/ha nitrogen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029416"/>
        <c:crosses val="autoZero"/>
        <c:crossBetween val="between"/>
      </c:valAx>
      <c:spPr>
        <a:noFill/>
        <a:ln>
          <a:noFill/>
        </a:ln>
        <a:effectLst/>
      </c:spPr>
    </c:plotArea>
    <c:legend>
      <c:legendPos val="r"/>
      <c:layout>
        <c:manualLayout>
          <c:xMode val="edge"/>
          <c:yMode val="edge"/>
          <c:x val="0.2755937439710035"/>
          <c:y val="0.18013656917115342"/>
          <c:w val="0.42756332593216845"/>
          <c:h val="0.13347087260909635"/>
        </c:manualLayout>
      </c:layout>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716</Words>
  <Characters>4083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jones</dc:creator>
  <cp:lastModifiedBy>david jones</cp:lastModifiedBy>
  <cp:revision>4</cp:revision>
  <dcterms:created xsi:type="dcterms:W3CDTF">2014-04-06T23:41:00Z</dcterms:created>
  <dcterms:modified xsi:type="dcterms:W3CDTF">2014-04-14T09:40:00Z</dcterms:modified>
</cp:coreProperties>
</file>